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7200A7" w:rsidRDefault="00067BC0"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w:t>
      </w:r>
      <w:r w:rsidRPr="007200A7">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3A433B" w:rsidTr="00506F9B">
        <w:tc>
          <w:tcPr>
            <w:tcW w:w="5353" w:type="dxa"/>
          </w:tcPr>
          <w:p w:rsidR="00197BA3" w:rsidRPr="007200A7" w:rsidRDefault="00067BC0"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RDefault="00067BC0" w:rsidP="00BA3AD6">
            <w:pPr>
              <w:jc w:val="right"/>
              <w:rPr>
                <w:rFonts w:ascii="Verdana" w:hAnsi="Verdana"/>
                <w:b/>
                <w:bCs/>
                <w:iCs/>
                <w:color w:val="183850" w:themeColor="text1"/>
                <w:sz w:val="28"/>
              </w:rPr>
            </w:pPr>
            <w:r w:rsidRPr="007200A7">
              <w:rPr>
                <w:rFonts w:ascii="Verdana" w:hAnsi="Verdana"/>
                <w:b/>
                <w:bCs/>
                <w:iCs/>
                <w:color w:val="183850" w:themeColor="text1"/>
                <w:sz w:val="24"/>
                <w:szCs w:val="24"/>
              </w:rPr>
              <w:t>Appendix A</w:t>
            </w:r>
          </w:p>
        </w:tc>
      </w:tr>
      <w:tr w:rsidR="003A433B" w:rsidTr="00506F9B">
        <w:tc>
          <w:tcPr>
            <w:tcW w:w="9781" w:type="dxa"/>
            <w:gridSpan w:val="2"/>
          </w:tcPr>
          <w:p w:rsidR="00197BA3" w:rsidRPr="007200A7" w:rsidRDefault="00067BC0" w:rsidP="00506F9B">
            <w:pPr>
              <w:rPr>
                <w:rFonts w:ascii="Verdana" w:hAnsi="Verdana"/>
                <w:b/>
                <w:bCs/>
                <w:iCs/>
                <w:color w:val="183850" w:themeColor="text1"/>
                <w:sz w:val="24"/>
              </w:rPr>
            </w:pPr>
          </w:p>
        </w:tc>
      </w:tr>
      <w:tr w:rsidR="003A433B" w:rsidTr="00506F9B">
        <w:tc>
          <w:tcPr>
            <w:tcW w:w="5353" w:type="dxa"/>
          </w:tcPr>
          <w:p w:rsidR="00197BA3" w:rsidRPr="007200A7" w:rsidRDefault="00067BC0"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RDefault="00067BC0" w:rsidP="00BA3AD6">
            <w:pPr>
              <w:jc w:val="right"/>
              <w:rPr>
                <w:rFonts w:ascii="Verdana" w:hAnsi="Verdana"/>
                <w:b/>
                <w:bCs/>
                <w:iCs/>
                <w:color w:val="183850" w:themeColor="text1"/>
                <w:sz w:val="24"/>
              </w:rPr>
            </w:pPr>
            <w:r>
              <w:rPr>
                <w:rFonts w:ascii="Verdana" w:hAnsi="Verdana"/>
                <w:b/>
                <w:bCs/>
                <w:iCs/>
                <w:color w:val="183850" w:themeColor="text1"/>
                <w:sz w:val="24"/>
              </w:rPr>
              <w:t>30</w:t>
            </w:r>
            <w:r w:rsidRPr="007200A7">
              <w:rPr>
                <w:rFonts w:ascii="Verdana" w:hAnsi="Verdana"/>
                <w:b/>
                <w:bCs/>
                <w:iCs/>
                <w:color w:val="183850" w:themeColor="text1"/>
                <w:sz w:val="24"/>
              </w:rPr>
              <w:t xml:space="preserve"> </w:t>
            </w:r>
            <w:r w:rsidRPr="007200A7">
              <w:rPr>
                <w:rFonts w:ascii="Verdana" w:hAnsi="Verdana"/>
                <w:b/>
                <w:bCs/>
                <w:iCs/>
                <w:color w:val="183850" w:themeColor="text1"/>
                <w:sz w:val="24"/>
              </w:rPr>
              <w:t>June 2017</w:t>
            </w:r>
          </w:p>
        </w:tc>
      </w:tr>
      <w:tr w:rsidR="003A433B" w:rsidTr="00506F9B">
        <w:tc>
          <w:tcPr>
            <w:tcW w:w="5353" w:type="dxa"/>
          </w:tcPr>
          <w:p w:rsidR="00197BA3" w:rsidRPr="007200A7" w:rsidRDefault="00067BC0"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RDefault="00067BC0" w:rsidP="00506F9B">
            <w:pPr>
              <w:jc w:val="right"/>
              <w:rPr>
                <w:rFonts w:ascii="Verdana" w:hAnsi="Verdana"/>
                <w:b/>
                <w:bCs/>
                <w:iCs/>
                <w:color w:val="183850" w:themeColor="text1"/>
                <w:sz w:val="24"/>
                <w:szCs w:val="24"/>
              </w:rPr>
            </w:pPr>
          </w:p>
        </w:tc>
      </w:tr>
    </w:tbl>
    <w:p w:rsidR="00197BA3" w:rsidRPr="007200A7" w:rsidRDefault="00067BC0"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7767"/>
      </w:tblGrid>
      <w:tr w:rsidR="003A433B" w:rsidTr="00A21E82">
        <w:trPr>
          <w:trHeight w:val="461"/>
        </w:trPr>
        <w:tc>
          <w:tcPr>
            <w:tcW w:w="1985" w:type="dxa"/>
            <w:shd w:val="clear" w:color="auto" w:fill="F2F2F2" w:themeFill="background1" w:themeFillShade="F2"/>
          </w:tcPr>
          <w:p w:rsidR="00197BA3" w:rsidRPr="007200A7" w:rsidRDefault="00067BC0"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767" w:type="dxa"/>
          </w:tcPr>
          <w:p w:rsidR="00197BA3" w:rsidRPr="007200A7" w:rsidRDefault="00067BC0" w:rsidP="00506F9B">
            <w:pPr>
              <w:rPr>
                <w:rFonts w:ascii="Verdana" w:hAnsi="Verdana"/>
                <w:bCs/>
                <w:iCs/>
                <w:color w:val="183850" w:themeColor="text1"/>
                <w:sz w:val="20"/>
                <w:szCs w:val="20"/>
              </w:rPr>
            </w:pPr>
            <w:r w:rsidRPr="007200A7">
              <w:rPr>
                <w:rFonts w:ascii="Verdana" w:hAnsi="Verdana"/>
                <w:bCs/>
                <w:iCs/>
                <w:color w:val="183850" w:themeColor="text1"/>
                <w:sz w:val="20"/>
                <w:szCs w:val="20"/>
              </w:rPr>
              <w:t>Quarterly Report on Responsible Investment</w:t>
            </w:r>
          </w:p>
        </w:tc>
      </w:tr>
      <w:tr w:rsidR="003A433B" w:rsidTr="00A21E82">
        <w:trPr>
          <w:trHeight w:val="632"/>
        </w:trPr>
        <w:tc>
          <w:tcPr>
            <w:tcW w:w="1985" w:type="dxa"/>
            <w:shd w:val="clear" w:color="auto" w:fill="F2F2F2" w:themeFill="background1" w:themeFillShade="F2"/>
          </w:tcPr>
          <w:p w:rsidR="00197BA3" w:rsidRPr="007200A7" w:rsidRDefault="00067BC0"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767" w:type="dxa"/>
          </w:tcPr>
          <w:p w:rsidR="00197BA3" w:rsidRPr="007200A7" w:rsidRDefault="00067BC0"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Frances Deakin </w:t>
            </w:r>
          </w:p>
          <w:p w:rsidR="00197BA3" w:rsidRPr="007200A7" w:rsidRDefault="00067BC0"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Responsible Investment </w:t>
            </w:r>
            <w:r w:rsidRPr="007200A7">
              <w:rPr>
                <w:rFonts w:ascii="Verdana" w:hAnsi="Verdana"/>
                <w:bCs/>
                <w:iCs/>
                <w:color w:val="183850" w:themeColor="text1"/>
                <w:sz w:val="20"/>
                <w:szCs w:val="20"/>
              </w:rPr>
              <w:t>Manager</w:t>
            </w:r>
          </w:p>
          <w:p w:rsidR="00197BA3" w:rsidRPr="007200A7" w:rsidRDefault="00067BC0"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Local Pensions Partnership Investments Ltd </w:t>
            </w:r>
          </w:p>
          <w:p w:rsidR="00197BA3" w:rsidRPr="007200A7" w:rsidRDefault="00067BC0" w:rsidP="00506F9B">
            <w:pPr>
              <w:rPr>
                <w:rFonts w:ascii="Verdana" w:hAnsi="Verdana"/>
                <w:bCs/>
                <w:iCs/>
                <w:color w:val="183850" w:themeColor="text1"/>
                <w:sz w:val="20"/>
                <w:szCs w:val="20"/>
              </w:rPr>
            </w:pPr>
            <w:hyperlink r:id="rId8" w:history="1">
              <w:r w:rsidRPr="007200A7">
                <w:rPr>
                  <w:rStyle w:val="Hyperlink"/>
                  <w:rFonts w:ascii="Verdana" w:hAnsi="Verdana"/>
                  <w:bCs/>
                  <w:iCs/>
                  <w:color w:val="183850" w:themeColor="text1"/>
                  <w:sz w:val="20"/>
                  <w:szCs w:val="20"/>
                </w:rPr>
                <w:t>frances.deakin@localpensionspartnership.org.uk</w:t>
              </w:r>
            </w:hyperlink>
          </w:p>
          <w:p w:rsidR="00197BA3" w:rsidRPr="007200A7" w:rsidRDefault="00067BC0" w:rsidP="00506F9B">
            <w:pPr>
              <w:rPr>
                <w:rFonts w:ascii="Verdana" w:hAnsi="Verdana"/>
                <w:bCs/>
                <w:iCs/>
                <w:color w:val="183850" w:themeColor="text1"/>
                <w:sz w:val="20"/>
                <w:szCs w:val="20"/>
              </w:rPr>
            </w:pPr>
          </w:p>
        </w:tc>
      </w:tr>
      <w:tr w:rsidR="003A433B" w:rsidTr="00A21E82">
        <w:trPr>
          <w:trHeight w:val="456"/>
        </w:trPr>
        <w:tc>
          <w:tcPr>
            <w:tcW w:w="1985" w:type="dxa"/>
            <w:shd w:val="clear" w:color="auto" w:fill="F2F2F2" w:themeFill="background1" w:themeFillShade="F2"/>
          </w:tcPr>
          <w:p w:rsidR="00197BA3" w:rsidRPr="00610859" w:rsidRDefault="00067BC0"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767" w:type="dxa"/>
          </w:tcPr>
          <w:p w:rsidR="00197BA3" w:rsidRPr="00610859" w:rsidRDefault="00067BC0" w:rsidP="00A21E82">
            <w:pPr>
              <w:rPr>
                <w:rFonts w:ascii="Verdana" w:hAnsi="Verdana" w:cs="Arial"/>
                <w:bCs/>
                <w:color w:val="183850" w:themeColor="text1"/>
                <w:sz w:val="20"/>
                <w:szCs w:val="20"/>
              </w:rPr>
            </w:pPr>
            <w:r w:rsidRPr="00610859">
              <w:rPr>
                <w:rFonts w:ascii="Verdana" w:hAnsi="Verdana" w:cs="Arial"/>
                <w:bCs/>
                <w:color w:val="183850" w:themeColor="text1"/>
                <w:sz w:val="20"/>
                <w:szCs w:val="20"/>
              </w:rPr>
              <w:t xml:space="preserve">Appendix 1: </w:t>
            </w:r>
            <w:r w:rsidRPr="00610859">
              <w:rPr>
                <w:rFonts w:ascii="Verdana" w:hAnsi="Verdana" w:cs="Arial"/>
                <w:bCs/>
                <w:color w:val="183850" w:themeColor="text1"/>
                <w:sz w:val="20"/>
                <w:szCs w:val="20"/>
              </w:rPr>
              <w:t>LCPF Report</w:t>
            </w:r>
            <w:r>
              <w:rPr>
                <w:rFonts w:ascii="Verdana" w:hAnsi="Verdana" w:cs="Arial"/>
                <w:bCs/>
                <w:color w:val="183850" w:themeColor="text1"/>
                <w:sz w:val="20"/>
                <w:szCs w:val="20"/>
              </w:rPr>
              <w:t xml:space="preserve">ing to the </w:t>
            </w:r>
            <w:r w:rsidRPr="00610859">
              <w:rPr>
                <w:rFonts w:ascii="Verdana" w:hAnsi="Verdana" w:cs="Arial"/>
                <w:bCs/>
                <w:color w:val="183850" w:themeColor="text1"/>
                <w:sz w:val="20"/>
                <w:szCs w:val="20"/>
              </w:rPr>
              <w:t>P</w:t>
            </w:r>
            <w:r>
              <w:rPr>
                <w:rFonts w:ascii="Verdana" w:hAnsi="Verdana" w:cs="Arial"/>
                <w:bCs/>
                <w:color w:val="183850" w:themeColor="text1"/>
                <w:sz w:val="20"/>
                <w:szCs w:val="20"/>
              </w:rPr>
              <w:t xml:space="preserve">rinciples of </w:t>
            </w:r>
            <w:r w:rsidRPr="00610859">
              <w:rPr>
                <w:rFonts w:ascii="Verdana" w:hAnsi="Verdana" w:cs="Arial"/>
                <w:bCs/>
                <w:color w:val="183850" w:themeColor="text1"/>
                <w:sz w:val="20"/>
                <w:szCs w:val="20"/>
              </w:rPr>
              <w:t>R</w:t>
            </w:r>
            <w:r>
              <w:rPr>
                <w:rFonts w:ascii="Verdana" w:hAnsi="Verdana" w:cs="Arial"/>
                <w:bCs/>
                <w:color w:val="183850" w:themeColor="text1"/>
                <w:sz w:val="20"/>
                <w:szCs w:val="20"/>
              </w:rPr>
              <w:t xml:space="preserve">esponsible </w:t>
            </w:r>
            <w:r w:rsidRPr="00610859">
              <w:rPr>
                <w:rFonts w:ascii="Verdana" w:hAnsi="Verdana" w:cs="Arial"/>
                <w:bCs/>
                <w:color w:val="183850" w:themeColor="text1"/>
                <w:sz w:val="20"/>
                <w:szCs w:val="20"/>
              </w:rPr>
              <w:t>I</w:t>
            </w:r>
            <w:r>
              <w:rPr>
                <w:rFonts w:ascii="Verdana" w:hAnsi="Verdana" w:cs="Arial"/>
                <w:bCs/>
                <w:color w:val="183850" w:themeColor="text1"/>
                <w:sz w:val="20"/>
                <w:szCs w:val="20"/>
              </w:rPr>
              <w:t xml:space="preserve">nvestment </w:t>
            </w:r>
            <w:r w:rsidRPr="00610859">
              <w:rPr>
                <w:rFonts w:ascii="Verdana" w:hAnsi="Verdana" w:cs="Arial"/>
                <w:bCs/>
                <w:color w:val="183850" w:themeColor="text1"/>
                <w:sz w:val="20"/>
                <w:szCs w:val="20"/>
              </w:rPr>
              <w:t xml:space="preserve"> </w:t>
            </w:r>
            <w:r w:rsidRPr="00610859">
              <w:rPr>
                <w:rFonts w:ascii="Verdana" w:hAnsi="Verdana" w:cs="Arial"/>
                <w:bCs/>
                <w:color w:val="183850" w:themeColor="text1"/>
                <w:sz w:val="20"/>
                <w:szCs w:val="20"/>
              </w:rPr>
              <w:t>2017</w:t>
            </w:r>
          </w:p>
          <w:p w:rsidR="00A8013C" w:rsidRPr="00610859" w:rsidRDefault="00067BC0" w:rsidP="00A21E82">
            <w:pPr>
              <w:ind w:left="1338" w:hanging="1338"/>
              <w:rPr>
                <w:rFonts w:ascii="Verdana" w:hAnsi="Verdana"/>
                <w:b/>
                <w:bCs/>
                <w:iCs/>
                <w:color w:val="183850" w:themeColor="text1"/>
                <w:sz w:val="20"/>
                <w:szCs w:val="20"/>
              </w:rPr>
            </w:pPr>
            <w:r w:rsidRPr="00610859">
              <w:rPr>
                <w:rFonts w:ascii="Verdana" w:hAnsi="Verdana" w:cs="Arial"/>
                <w:bCs/>
                <w:color w:val="183850" w:themeColor="text1"/>
                <w:sz w:val="20"/>
                <w:szCs w:val="20"/>
              </w:rPr>
              <w:t xml:space="preserve">Appendix </w:t>
            </w:r>
            <w:r w:rsidR="00A21E82">
              <w:rPr>
                <w:rFonts w:ascii="Verdana" w:hAnsi="Verdana" w:cs="Arial"/>
                <w:bCs/>
                <w:color w:val="183850" w:themeColor="text1"/>
                <w:sz w:val="20"/>
                <w:szCs w:val="20"/>
              </w:rPr>
              <w:t>2</w:t>
            </w:r>
            <w:r w:rsidRPr="00610859">
              <w:rPr>
                <w:rFonts w:ascii="Verdana" w:hAnsi="Verdana" w:cs="Arial"/>
                <w:bCs/>
                <w:color w:val="183850" w:themeColor="text1"/>
                <w:sz w:val="20"/>
                <w:szCs w:val="20"/>
              </w:rPr>
              <w:t xml:space="preserve">: LCPF Statement of Compliance with the </w:t>
            </w:r>
            <w:r>
              <w:rPr>
                <w:rFonts w:ascii="Verdana" w:hAnsi="Verdana" w:cs="Arial"/>
                <w:bCs/>
                <w:color w:val="183850" w:themeColor="text1"/>
                <w:sz w:val="20"/>
                <w:szCs w:val="20"/>
              </w:rPr>
              <w:t xml:space="preserve">UK </w:t>
            </w:r>
            <w:r w:rsidRPr="00610859">
              <w:rPr>
                <w:rFonts w:ascii="Verdana" w:hAnsi="Verdana" w:cs="Arial"/>
                <w:bCs/>
                <w:color w:val="183850" w:themeColor="text1"/>
                <w:sz w:val="20"/>
                <w:szCs w:val="20"/>
              </w:rPr>
              <w:t>Stewardship Code</w:t>
            </w:r>
          </w:p>
        </w:tc>
      </w:tr>
    </w:tbl>
    <w:p w:rsidR="00B22E56" w:rsidRPr="007200A7" w:rsidRDefault="00067BC0" w:rsidP="00B23C16">
      <w:pPr>
        <w:spacing w:after="0" w:line="240" w:lineRule="auto"/>
        <w:rPr>
          <w:rFonts w:ascii="Verdana" w:hAnsi="Verdana" w:cs="Arial"/>
          <w:bCs/>
          <w:color w:val="183850" w:themeColor="text1"/>
          <w:sz w:val="34"/>
          <w:szCs w:val="34"/>
        </w:rPr>
      </w:pPr>
    </w:p>
    <w:p w:rsidR="00B23C16" w:rsidRPr="007200A7" w:rsidRDefault="00067BC0" w:rsidP="00320885">
      <w:pPr>
        <w:spacing w:after="0" w:line="240" w:lineRule="auto"/>
        <w:rPr>
          <w:rFonts w:ascii="Verdana" w:hAnsi="Verdana" w:cs="Arial"/>
          <w:b/>
          <w:bCs/>
          <w:color w:val="183850" w:themeColor="text1"/>
          <w:sz w:val="20"/>
          <w:szCs w:val="20"/>
        </w:rPr>
      </w:pPr>
    </w:p>
    <w:p w:rsidR="00E04E31" w:rsidRPr="008E62D7" w:rsidRDefault="00067BC0"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Executive Summary</w:t>
      </w:r>
    </w:p>
    <w:p w:rsidR="00197BA3" w:rsidRPr="007200A7" w:rsidRDefault="00067BC0" w:rsidP="003B4083">
      <w:pPr>
        <w:pStyle w:val="treb"/>
        <w:numPr>
          <w:ilvl w:val="0"/>
          <w:numId w:val="0"/>
        </w:numPr>
        <w:spacing w:after="0"/>
        <w:rPr>
          <w:rFonts w:ascii="Verdana" w:hAnsi="Verdana"/>
          <w:b w:val="0"/>
          <w:color w:val="183850" w:themeColor="text1"/>
          <w:sz w:val="20"/>
          <w:szCs w:val="20"/>
        </w:rPr>
      </w:pPr>
    </w:p>
    <w:p w:rsidR="00197BA3" w:rsidRPr="007200A7" w:rsidRDefault="00067BC0" w:rsidP="003B4083">
      <w:pPr>
        <w:pStyle w:val="treb"/>
        <w:numPr>
          <w:ilvl w:val="0"/>
          <w:numId w:val="0"/>
        </w:numPr>
        <w:spacing w:after="0"/>
        <w:rPr>
          <w:rFonts w:ascii="Verdana" w:hAnsi="Verdana"/>
          <w:b w:val="0"/>
          <w:color w:val="183850" w:themeColor="text1"/>
          <w:sz w:val="20"/>
          <w:szCs w:val="20"/>
        </w:rPr>
      </w:pPr>
      <w:r w:rsidRPr="007200A7">
        <w:rPr>
          <w:rFonts w:ascii="Verdana" w:hAnsi="Verdana"/>
          <w:b w:val="0"/>
          <w:color w:val="183850" w:themeColor="text1"/>
          <w:sz w:val="20"/>
          <w:szCs w:val="20"/>
        </w:rPr>
        <w:t xml:space="preserve">This report provides members of the Pension Fund Committee of </w:t>
      </w:r>
      <w:r w:rsidRPr="007200A7">
        <w:rPr>
          <w:rFonts w:ascii="Verdana" w:hAnsi="Verdana"/>
          <w:b w:val="0"/>
          <w:color w:val="183850" w:themeColor="text1"/>
          <w:sz w:val="20"/>
          <w:szCs w:val="20"/>
        </w:rPr>
        <w:t>Lancashire County Pension Fund (LCPF) with a quarterly update on Responsible Investment (RI) matters.</w:t>
      </w:r>
    </w:p>
    <w:p w:rsidR="00197BA3" w:rsidRPr="007200A7" w:rsidRDefault="00067BC0" w:rsidP="003B4083">
      <w:pPr>
        <w:pStyle w:val="treb"/>
        <w:numPr>
          <w:ilvl w:val="0"/>
          <w:numId w:val="0"/>
        </w:numPr>
        <w:spacing w:after="0"/>
        <w:rPr>
          <w:rFonts w:ascii="Verdana" w:hAnsi="Verdana"/>
          <w:b w:val="0"/>
          <w:color w:val="183850" w:themeColor="text1"/>
          <w:sz w:val="20"/>
          <w:szCs w:val="20"/>
        </w:rPr>
      </w:pPr>
    </w:p>
    <w:p w:rsidR="00320885" w:rsidRPr="008E62D7" w:rsidRDefault="00067BC0"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Introduction</w:t>
      </w:r>
    </w:p>
    <w:p w:rsidR="00197BA3" w:rsidRPr="007200A7" w:rsidRDefault="00067BC0" w:rsidP="003B4083">
      <w:pPr>
        <w:autoSpaceDE w:val="0"/>
        <w:autoSpaceDN w:val="0"/>
        <w:adjustRightInd w:val="0"/>
        <w:spacing w:after="0"/>
        <w:jc w:val="both"/>
        <w:rPr>
          <w:rFonts w:ascii="Verdana" w:hAnsi="Verdana"/>
          <w:color w:val="183850" w:themeColor="text1"/>
          <w:sz w:val="20"/>
          <w:szCs w:val="20"/>
        </w:rPr>
      </w:pPr>
    </w:p>
    <w:p w:rsidR="00197BA3" w:rsidRPr="00601570" w:rsidRDefault="00067BC0"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olor w:val="183850" w:themeColor="text1"/>
          <w:sz w:val="20"/>
          <w:szCs w:val="20"/>
        </w:rPr>
        <w:t xml:space="preserve">The Fund's approach to RI </w:t>
      </w:r>
      <w:r w:rsidRPr="007200A7">
        <w:rPr>
          <w:rFonts w:ascii="Verdana" w:hAnsi="Verdana"/>
          <w:color w:val="183850" w:themeColor="text1"/>
          <w:sz w:val="20"/>
          <w:szCs w:val="20"/>
        </w:rPr>
        <w:t xml:space="preserve">has been </w:t>
      </w:r>
      <w:r>
        <w:rPr>
          <w:rFonts w:ascii="Verdana" w:hAnsi="Verdana"/>
          <w:color w:val="183850" w:themeColor="text1"/>
          <w:sz w:val="20"/>
          <w:szCs w:val="20"/>
        </w:rPr>
        <w:t>articulated</w:t>
      </w:r>
      <w:r w:rsidRPr="007200A7">
        <w:rPr>
          <w:rFonts w:ascii="Verdana" w:hAnsi="Verdana"/>
          <w:color w:val="183850" w:themeColor="text1"/>
          <w:sz w:val="20"/>
          <w:szCs w:val="20"/>
        </w:rPr>
        <w:t xml:space="preserve"> </w:t>
      </w:r>
      <w:r w:rsidRPr="007200A7">
        <w:rPr>
          <w:rFonts w:ascii="Verdana" w:hAnsi="Verdana"/>
          <w:color w:val="183850" w:themeColor="text1"/>
          <w:sz w:val="20"/>
          <w:szCs w:val="20"/>
        </w:rPr>
        <w:t xml:space="preserve">within </w:t>
      </w:r>
      <w:r w:rsidRPr="007200A7">
        <w:rPr>
          <w:rFonts w:ascii="Verdana" w:hAnsi="Verdana"/>
          <w:color w:val="183850" w:themeColor="text1"/>
          <w:sz w:val="20"/>
          <w:szCs w:val="20"/>
        </w:rPr>
        <w:t>an</w:t>
      </w:r>
      <w:r w:rsidRPr="007200A7">
        <w:rPr>
          <w:rFonts w:ascii="Verdana" w:hAnsi="Verdana"/>
          <w:color w:val="183850" w:themeColor="text1"/>
          <w:sz w:val="20"/>
          <w:szCs w:val="20"/>
        </w:rPr>
        <w:t xml:space="preserve"> Investment </w:t>
      </w:r>
      <w:r w:rsidRPr="007200A7">
        <w:rPr>
          <w:rFonts w:ascii="Verdana" w:hAnsi="Verdana"/>
          <w:color w:val="183850" w:themeColor="text1"/>
          <w:sz w:val="20"/>
          <w:szCs w:val="20"/>
        </w:rPr>
        <w:t xml:space="preserve">Strategy Statement which </w:t>
      </w:r>
      <w:r w:rsidRPr="007200A7">
        <w:rPr>
          <w:rFonts w:ascii="Verdana" w:hAnsi="Verdana"/>
          <w:color w:val="183850" w:themeColor="text1"/>
          <w:sz w:val="20"/>
          <w:szCs w:val="20"/>
        </w:rPr>
        <w:t>confirms that the objective of RI is to decrea</w:t>
      </w:r>
      <w:r w:rsidRPr="007200A7">
        <w:rPr>
          <w:rFonts w:ascii="Verdana" w:hAnsi="Verdana"/>
          <w:color w:val="183850" w:themeColor="text1"/>
          <w:sz w:val="20"/>
          <w:szCs w:val="20"/>
        </w:rPr>
        <w:t xml:space="preserve">se investor risk, improve risk-adjusted returns and </w:t>
      </w:r>
      <w:r w:rsidRPr="007200A7">
        <w:rPr>
          <w:rFonts w:ascii="Verdana" w:hAnsi="Verdana" w:cs="TT3B97o00"/>
          <w:color w:val="183850" w:themeColor="text1"/>
          <w:sz w:val="20"/>
          <w:szCs w:val="20"/>
        </w:rPr>
        <w:t>assist</w:t>
      </w:r>
      <w:r w:rsidRPr="007200A7">
        <w:rPr>
          <w:rFonts w:ascii="Verdana" w:hAnsi="Verdana" w:cs="TT3B97o00"/>
          <w:color w:val="183850" w:themeColor="text1"/>
          <w:sz w:val="20"/>
          <w:szCs w:val="20"/>
        </w:rPr>
        <w:t xml:space="preserve"> the Fund</w:t>
      </w:r>
      <w:r w:rsidRPr="007200A7">
        <w:rPr>
          <w:rFonts w:ascii="Verdana" w:hAnsi="Verdana" w:cs="TT3B97o00"/>
          <w:color w:val="183850" w:themeColor="text1"/>
          <w:sz w:val="20"/>
          <w:szCs w:val="20"/>
        </w:rPr>
        <w:t xml:space="preserve">'s </w:t>
      </w:r>
      <w:r w:rsidRPr="007200A7">
        <w:rPr>
          <w:rFonts w:ascii="Verdana" w:hAnsi="Verdana" w:cs="TT3B97o00"/>
          <w:color w:val="183850" w:themeColor="text1"/>
          <w:sz w:val="20"/>
          <w:szCs w:val="20"/>
        </w:rPr>
        <w:t>adhere</w:t>
      </w:r>
      <w:r w:rsidRPr="007200A7">
        <w:rPr>
          <w:rFonts w:ascii="Verdana" w:hAnsi="Verdana" w:cs="TT3B97o00"/>
          <w:color w:val="183850" w:themeColor="text1"/>
          <w:sz w:val="20"/>
          <w:szCs w:val="20"/>
        </w:rPr>
        <w:t>nce</w:t>
      </w:r>
      <w:r w:rsidRPr="007200A7">
        <w:rPr>
          <w:rFonts w:ascii="Verdana" w:hAnsi="Verdana" w:cs="TT3B97o00"/>
          <w:color w:val="183850" w:themeColor="text1"/>
          <w:sz w:val="20"/>
          <w:szCs w:val="20"/>
        </w:rPr>
        <w:t xml:space="preserve"> to the UK Stewardship Code. </w:t>
      </w:r>
      <w:r w:rsidRPr="007200A7">
        <w:rPr>
          <w:rFonts w:ascii="Verdana" w:hAnsi="Verdana" w:cs="TT3B97o00"/>
          <w:color w:val="183850" w:themeColor="text1"/>
          <w:sz w:val="20"/>
          <w:szCs w:val="20"/>
        </w:rPr>
        <w:t xml:space="preserve">The </w:t>
      </w:r>
      <w:r w:rsidRPr="007200A7">
        <w:rPr>
          <w:rFonts w:ascii="Verdana" w:hAnsi="Verdana" w:cs="TT3B97o00"/>
          <w:color w:val="183850" w:themeColor="text1"/>
          <w:sz w:val="20"/>
          <w:szCs w:val="20"/>
        </w:rPr>
        <w:t xml:space="preserve">Fund's </w:t>
      </w:r>
      <w:r>
        <w:rPr>
          <w:rFonts w:ascii="Verdana" w:hAnsi="Verdana" w:cs="TT3B97o00"/>
          <w:color w:val="183850" w:themeColor="text1"/>
          <w:sz w:val="20"/>
          <w:szCs w:val="20"/>
        </w:rPr>
        <w:t xml:space="preserve">preferred </w:t>
      </w:r>
      <w:r w:rsidRPr="007200A7">
        <w:rPr>
          <w:rFonts w:ascii="Verdana" w:hAnsi="Verdana" w:cs="TT3B97o00"/>
          <w:color w:val="183850" w:themeColor="text1"/>
          <w:sz w:val="20"/>
          <w:szCs w:val="20"/>
        </w:rPr>
        <w:t xml:space="preserve">approach </w:t>
      </w:r>
      <w:r w:rsidRPr="007200A7">
        <w:rPr>
          <w:rFonts w:ascii="Verdana" w:hAnsi="Verdana" w:cs="TT3B97o00"/>
          <w:color w:val="183850" w:themeColor="text1"/>
          <w:sz w:val="20"/>
          <w:szCs w:val="20"/>
        </w:rPr>
        <w:t xml:space="preserve">to RI </w:t>
      </w:r>
      <w:r w:rsidRPr="007200A7">
        <w:rPr>
          <w:rFonts w:ascii="Verdana" w:hAnsi="Verdana" w:cs="TT3B97o00"/>
          <w:color w:val="183850" w:themeColor="text1"/>
          <w:sz w:val="20"/>
          <w:szCs w:val="20"/>
        </w:rPr>
        <w:t>encompasses</w:t>
      </w:r>
      <w:r w:rsidRPr="007200A7">
        <w:rPr>
          <w:rFonts w:ascii="Verdana" w:hAnsi="Verdana" w:cs="TT3B97o00"/>
          <w:color w:val="183850" w:themeColor="text1"/>
          <w:sz w:val="20"/>
          <w:szCs w:val="20"/>
        </w:rPr>
        <w:t xml:space="preserve"> four main areas of activity:</w:t>
      </w:r>
    </w:p>
    <w:p w:rsidR="00197BA3" w:rsidRPr="007200A7" w:rsidRDefault="00067BC0"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Voting Globally</w:t>
      </w:r>
    </w:p>
    <w:p w:rsidR="00197BA3" w:rsidRPr="007200A7" w:rsidRDefault="00067BC0"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Engagement through Partnerships</w:t>
      </w:r>
    </w:p>
    <w:p w:rsidR="00197BA3" w:rsidRPr="007200A7" w:rsidRDefault="00067BC0"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Shareholder Litigation</w:t>
      </w:r>
    </w:p>
    <w:p w:rsidR="00197BA3" w:rsidRPr="007200A7" w:rsidRDefault="00067BC0"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Active Investing</w:t>
      </w:r>
    </w:p>
    <w:p w:rsidR="006403C0" w:rsidRPr="007200A7" w:rsidRDefault="00067BC0" w:rsidP="003B4083">
      <w:pPr>
        <w:autoSpaceDE w:val="0"/>
        <w:autoSpaceDN w:val="0"/>
        <w:adjustRightInd w:val="0"/>
        <w:spacing w:after="0"/>
        <w:jc w:val="both"/>
        <w:rPr>
          <w:rFonts w:ascii="Verdana" w:hAnsi="Verdana" w:cs="TT3B97o00"/>
          <w:color w:val="183850" w:themeColor="text1"/>
          <w:sz w:val="20"/>
          <w:szCs w:val="20"/>
        </w:rPr>
      </w:pPr>
    </w:p>
    <w:p w:rsidR="00197BA3" w:rsidRDefault="00067BC0"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s="TT3B97o00"/>
          <w:color w:val="183850" w:themeColor="text1"/>
          <w:sz w:val="20"/>
          <w:szCs w:val="20"/>
        </w:rPr>
        <w:t>Responsibility for</w:t>
      </w:r>
      <w:r w:rsidRPr="007200A7">
        <w:rPr>
          <w:rFonts w:ascii="Verdana" w:hAnsi="Verdana" w:cs="TT3B97o00"/>
          <w:color w:val="183850" w:themeColor="text1"/>
          <w:sz w:val="20"/>
          <w:szCs w:val="20"/>
        </w:rPr>
        <w:t xml:space="preserve"> practical implementation</w:t>
      </w:r>
      <w:r w:rsidRPr="007200A7">
        <w:rPr>
          <w:rFonts w:ascii="Verdana" w:hAnsi="Verdana" w:cs="TT3B97o00"/>
          <w:color w:val="183850" w:themeColor="text1"/>
          <w:sz w:val="20"/>
          <w:szCs w:val="20"/>
        </w:rPr>
        <w:t xml:space="preserve"> of the Fund's approach to RI is </w:t>
      </w:r>
      <w:r w:rsidRPr="007200A7">
        <w:rPr>
          <w:rFonts w:ascii="Verdana" w:hAnsi="Verdana" w:cs="TT3B97o00"/>
          <w:color w:val="183850" w:themeColor="text1"/>
          <w:sz w:val="20"/>
          <w:szCs w:val="20"/>
        </w:rPr>
        <w:t>devolved to L</w:t>
      </w:r>
      <w:r w:rsidRPr="007200A7">
        <w:rPr>
          <w:rFonts w:ascii="Verdana" w:hAnsi="Verdana" w:cs="TT3B97o00"/>
          <w:color w:val="183850" w:themeColor="text1"/>
          <w:sz w:val="20"/>
          <w:szCs w:val="20"/>
        </w:rPr>
        <w:t xml:space="preserve">ocal Pensions </w:t>
      </w:r>
      <w:r w:rsidRPr="007200A7">
        <w:rPr>
          <w:rFonts w:ascii="Verdana" w:hAnsi="Verdana" w:cs="TT3B97o00"/>
          <w:color w:val="183850" w:themeColor="text1"/>
          <w:sz w:val="20"/>
          <w:szCs w:val="20"/>
        </w:rPr>
        <w:t>P</w:t>
      </w:r>
      <w:r w:rsidRPr="007200A7">
        <w:rPr>
          <w:rFonts w:ascii="Verdana" w:hAnsi="Verdana" w:cs="TT3B97o00"/>
          <w:color w:val="183850" w:themeColor="text1"/>
          <w:sz w:val="20"/>
          <w:szCs w:val="20"/>
        </w:rPr>
        <w:t xml:space="preserve">artnership </w:t>
      </w:r>
      <w:r w:rsidRPr="007200A7">
        <w:rPr>
          <w:rFonts w:ascii="Verdana" w:hAnsi="Verdana" w:cs="TT3B97o00"/>
          <w:color w:val="183850" w:themeColor="text1"/>
          <w:sz w:val="20"/>
          <w:szCs w:val="20"/>
        </w:rPr>
        <w:t>I</w:t>
      </w:r>
      <w:r w:rsidRPr="007200A7">
        <w:rPr>
          <w:rFonts w:ascii="Verdana" w:hAnsi="Verdana" w:cs="TT3B97o00"/>
          <w:color w:val="183850" w:themeColor="text1"/>
          <w:sz w:val="20"/>
          <w:szCs w:val="20"/>
        </w:rPr>
        <w:t>nvestments Ltd (LPP I)</w:t>
      </w:r>
      <w:r w:rsidRPr="007200A7">
        <w:rPr>
          <w:rFonts w:ascii="Verdana" w:hAnsi="Verdana" w:cs="TT3B97o00"/>
          <w:color w:val="183850" w:themeColor="text1"/>
          <w:sz w:val="20"/>
          <w:szCs w:val="20"/>
        </w:rPr>
        <w:t xml:space="preserve"> as LCPF's provider of investment management services.</w:t>
      </w:r>
      <w:r w:rsidRPr="007200A7">
        <w:rPr>
          <w:rFonts w:ascii="Verdana" w:hAnsi="Verdana" w:cs="TT3B97o00"/>
          <w:color w:val="183850" w:themeColor="text1"/>
          <w:sz w:val="20"/>
          <w:szCs w:val="20"/>
        </w:rPr>
        <w:t xml:space="preserve"> The report which follows provides </w:t>
      </w:r>
      <w:r w:rsidRPr="007200A7">
        <w:rPr>
          <w:rFonts w:ascii="Verdana" w:hAnsi="Verdana" w:cs="TT3B97o00"/>
          <w:color w:val="183850" w:themeColor="text1"/>
          <w:sz w:val="20"/>
          <w:szCs w:val="20"/>
        </w:rPr>
        <w:t xml:space="preserve">the committee with </w:t>
      </w:r>
      <w:r w:rsidRPr="007200A7">
        <w:rPr>
          <w:rFonts w:ascii="Verdana" w:hAnsi="Verdana" w:cs="TT3B97o00"/>
          <w:color w:val="183850" w:themeColor="text1"/>
          <w:sz w:val="20"/>
          <w:szCs w:val="20"/>
        </w:rPr>
        <w:t xml:space="preserve">an update on RI activity </w:t>
      </w:r>
      <w:r w:rsidRPr="007200A7">
        <w:rPr>
          <w:rFonts w:ascii="Verdana" w:hAnsi="Verdana" w:cs="TT3B97o00"/>
          <w:color w:val="183850" w:themeColor="text1"/>
          <w:sz w:val="20"/>
          <w:szCs w:val="20"/>
        </w:rPr>
        <w:t>during</w:t>
      </w:r>
      <w:r w:rsidRPr="007200A7">
        <w:rPr>
          <w:rFonts w:ascii="Verdana" w:hAnsi="Verdana" w:cs="TT3B97o00"/>
          <w:color w:val="183850" w:themeColor="text1"/>
          <w:sz w:val="20"/>
          <w:szCs w:val="20"/>
        </w:rPr>
        <w:t xml:space="preserve"> the period 1</w:t>
      </w:r>
      <w:r w:rsidRPr="007200A7">
        <w:rPr>
          <w:rFonts w:ascii="Verdana" w:hAnsi="Verdana" w:cs="TT3B97o00"/>
          <w:color w:val="183850" w:themeColor="text1"/>
          <w:sz w:val="20"/>
          <w:szCs w:val="20"/>
          <w:vertAlign w:val="superscript"/>
        </w:rPr>
        <w:t>st</w:t>
      </w:r>
      <w:r w:rsidRPr="007200A7">
        <w:rPr>
          <w:rFonts w:ascii="Verdana" w:hAnsi="Verdana" w:cs="TT3B97o00"/>
          <w:color w:val="183850" w:themeColor="text1"/>
          <w:sz w:val="20"/>
          <w:szCs w:val="20"/>
        </w:rPr>
        <w:t xml:space="preserve"> </w:t>
      </w:r>
      <w:r w:rsidRPr="007200A7">
        <w:rPr>
          <w:rFonts w:ascii="Verdana" w:hAnsi="Verdana" w:cs="TT3B97o00"/>
          <w:color w:val="183850" w:themeColor="text1"/>
          <w:sz w:val="20"/>
          <w:szCs w:val="20"/>
        </w:rPr>
        <w:t>January to 31</w:t>
      </w:r>
      <w:r w:rsidRPr="007200A7">
        <w:rPr>
          <w:rFonts w:ascii="Verdana" w:hAnsi="Verdana" w:cs="TT3B97o00"/>
          <w:color w:val="183850" w:themeColor="text1"/>
          <w:sz w:val="20"/>
          <w:szCs w:val="20"/>
          <w:vertAlign w:val="superscript"/>
        </w:rPr>
        <w:t>st</w:t>
      </w:r>
      <w:r w:rsidRPr="007200A7">
        <w:rPr>
          <w:rFonts w:ascii="Verdana" w:hAnsi="Verdana" w:cs="TT3B97o00"/>
          <w:color w:val="183850" w:themeColor="text1"/>
          <w:sz w:val="20"/>
          <w:szCs w:val="20"/>
        </w:rPr>
        <w:t xml:space="preserve"> </w:t>
      </w:r>
      <w:r w:rsidRPr="007200A7">
        <w:rPr>
          <w:rFonts w:ascii="Verdana" w:hAnsi="Verdana" w:cs="TT3B97o00"/>
          <w:color w:val="183850" w:themeColor="text1"/>
          <w:sz w:val="20"/>
          <w:szCs w:val="20"/>
        </w:rPr>
        <w:t>March 2017</w:t>
      </w:r>
      <w:r w:rsidRPr="007200A7">
        <w:rPr>
          <w:rFonts w:ascii="Verdana" w:hAnsi="Verdana" w:cs="TT3B97o00"/>
          <w:color w:val="183850" w:themeColor="text1"/>
          <w:sz w:val="20"/>
          <w:szCs w:val="20"/>
        </w:rPr>
        <w:t xml:space="preserve"> plus insight on current and emerging issues</w:t>
      </w:r>
      <w:r w:rsidRPr="007200A7">
        <w:rPr>
          <w:rFonts w:ascii="Verdana" w:hAnsi="Verdana" w:cs="TT3B97o00"/>
          <w:color w:val="183850" w:themeColor="text1"/>
          <w:sz w:val="20"/>
          <w:szCs w:val="20"/>
        </w:rPr>
        <w:t xml:space="preserve">. </w:t>
      </w:r>
    </w:p>
    <w:p w:rsidR="00F83B47" w:rsidRPr="007200A7" w:rsidRDefault="00067BC0" w:rsidP="003B4083">
      <w:pPr>
        <w:autoSpaceDE w:val="0"/>
        <w:autoSpaceDN w:val="0"/>
        <w:adjustRightInd w:val="0"/>
        <w:spacing w:after="0"/>
        <w:jc w:val="both"/>
        <w:rPr>
          <w:rFonts w:ascii="Verdana" w:hAnsi="Verdana" w:cs="TT3BA2o00"/>
          <w:color w:val="183850" w:themeColor="text1"/>
          <w:sz w:val="20"/>
          <w:szCs w:val="20"/>
        </w:rPr>
      </w:pPr>
    </w:p>
    <w:p w:rsidR="00197BA3" w:rsidRPr="008E62D7" w:rsidRDefault="00067BC0"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RDefault="00067BC0" w:rsidP="003B4083">
      <w:pPr>
        <w:pStyle w:val="treb"/>
        <w:numPr>
          <w:ilvl w:val="0"/>
          <w:numId w:val="0"/>
        </w:numPr>
        <w:spacing w:after="0"/>
        <w:rPr>
          <w:rFonts w:ascii="Verdana" w:hAnsi="Verdana"/>
          <w:color w:val="183850" w:themeColor="text1"/>
          <w:sz w:val="20"/>
          <w:szCs w:val="20"/>
        </w:rPr>
      </w:pPr>
    </w:p>
    <w:p w:rsidR="00C94FCD"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Through its investment in the LPP I Global Equities Fund (GEF) </w:t>
      </w:r>
      <w:r w:rsidRPr="003B4083">
        <w:rPr>
          <w:rFonts w:ascii="Verdana" w:hAnsi="Verdana" w:cs="Arial"/>
          <w:color w:val="183850" w:themeColor="text1"/>
          <w:sz w:val="20"/>
          <w:szCs w:val="20"/>
        </w:rPr>
        <w:t xml:space="preserve">LCPF </w:t>
      </w:r>
      <w:r w:rsidRPr="003B4083">
        <w:rPr>
          <w:rFonts w:ascii="Verdana" w:hAnsi="Verdana" w:cs="Arial"/>
          <w:color w:val="183850" w:themeColor="text1"/>
          <w:sz w:val="20"/>
          <w:szCs w:val="20"/>
        </w:rPr>
        <w:t>own</w:t>
      </w:r>
      <w:r w:rsidRPr="003B4083">
        <w:rPr>
          <w:rFonts w:ascii="Verdana" w:hAnsi="Verdana" w:cs="Arial"/>
          <w:color w:val="183850" w:themeColor="text1"/>
          <w:sz w:val="20"/>
          <w:szCs w:val="20"/>
        </w:rPr>
        <w:t>s</w:t>
      </w:r>
      <w:r w:rsidRPr="003B4083">
        <w:rPr>
          <w:rFonts w:ascii="Verdana" w:hAnsi="Verdana" w:cs="Arial"/>
          <w:color w:val="183850" w:themeColor="text1"/>
          <w:sz w:val="20"/>
          <w:szCs w:val="20"/>
        </w:rPr>
        <w:t xml:space="preserve"> units in a pooled fund which invests in listed companies </w:t>
      </w:r>
      <w:r w:rsidRPr="003B4083">
        <w:rPr>
          <w:rFonts w:ascii="Verdana" w:hAnsi="Verdana" w:cs="Arial"/>
          <w:color w:val="183850" w:themeColor="text1"/>
          <w:sz w:val="20"/>
          <w:szCs w:val="20"/>
        </w:rPr>
        <w:t>globally</w:t>
      </w:r>
      <w:r w:rsidRPr="003B4083">
        <w:rPr>
          <w:rFonts w:ascii="Verdana" w:hAnsi="Verdana" w:cs="Arial"/>
          <w:color w:val="183850" w:themeColor="text1"/>
          <w:sz w:val="20"/>
          <w:szCs w:val="20"/>
        </w:rPr>
        <w:t>.</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Investors</w:t>
      </w:r>
      <w:r w:rsidRPr="003B4083">
        <w:rPr>
          <w:rFonts w:ascii="Verdana" w:hAnsi="Verdana" w:cs="Arial"/>
          <w:color w:val="183850" w:themeColor="text1"/>
          <w:sz w:val="20"/>
          <w:szCs w:val="20"/>
        </w:rPr>
        <w:t xml:space="preserve"> in the GEF delegate the control and exercise of shareholder voting to LPP I as part of arrangements which accommodate </w:t>
      </w:r>
      <w:r w:rsidRPr="003B4083">
        <w:rPr>
          <w:rFonts w:ascii="Verdana" w:hAnsi="Verdana" w:cs="Arial"/>
          <w:color w:val="183850" w:themeColor="text1"/>
          <w:sz w:val="20"/>
          <w:szCs w:val="20"/>
        </w:rPr>
        <w:t>a</w:t>
      </w:r>
      <w:r w:rsidRPr="003B4083">
        <w:rPr>
          <w:rFonts w:ascii="Verdana" w:hAnsi="Verdana" w:cs="Arial"/>
          <w:color w:val="183850" w:themeColor="text1"/>
          <w:sz w:val="20"/>
          <w:szCs w:val="20"/>
        </w:rPr>
        <w:t xml:space="preserve"> pooled fund structure and associated </w:t>
      </w:r>
      <w:r w:rsidRPr="003B4083">
        <w:rPr>
          <w:rFonts w:ascii="Verdana" w:hAnsi="Verdana" w:cs="Arial"/>
          <w:color w:val="183850" w:themeColor="text1"/>
          <w:sz w:val="20"/>
          <w:szCs w:val="20"/>
        </w:rPr>
        <w:t xml:space="preserve">ownership </w:t>
      </w:r>
      <w:r w:rsidRPr="003B4083">
        <w:rPr>
          <w:rFonts w:ascii="Verdana" w:hAnsi="Verdana" w:cs="Arial"/>
          <w:color w:val="183850" w:themeColor="text1"/>
          <w:sz w:val="20"/>
          <w:szCs w:val="20"/>
        </w:rPr>
        <w:t>arrangements</w:t>
      </w:r>
      <w:r w:rsidRPr="003B4083">
        <w:rPr>
          <w:rFonts w:ascii="Verdana" w:hAnsi="Verdana" w:cs="Arial"/>
          <w:color w:val="183850" w:themeColor="text1"/>
          <w:sz w:val="20"/>
          <w:szCs w:val="20"/>
        </w:rPr>
        <w:t>. This reflects that c</w:t>
      </w:r>
      <w:r w:rsidRPr="003B4083">
        <w:rPr>
          <w:rFonts w:ascii="Verdana" w:hAnsi="Verdana" w:cs="Arial"/>
          <w:color w:val="183850" w:themeColor="text1"/>
          <w:sz w:val="20"/>
          <w:szCs w:val="20"/>
        </w:rPr>
        <w:t>lients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who </w:t>
      </w:r>
      <w:r w:rsidRPr="003B4083">
        <w:rPr>
          <w:rFonts w:ascii="Verdana" w:hAnsi="Verdana" w:cs="Arial"/>
          <w:color w:val="183850" w:themeColor="text1"/>
          <w:sz w:val="20"/>
          <w:szCs w:val="20"/>
        </w:rPr>
        <w:t>hold units in the GEF</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are beneficial owners </w:t>
      </w:r>
      <w:r w:rsidRPr="003B4083">
        <w:rPr>
          <w:rFonts w:ascii="Verdana" w:hAnsi="Verdana" w:cs="Arial"/>
          <w:color w:val="183850" w:themeColor="text1"/>
          <w:sz w:val="20"/>
          <w:szCs w:val="20"/>
        </w:rPr>
        <w:t xml:space="preserve">in common </w:t>
      </w:r>
      <w:r w:rsidRPr="003B4083">
        <w:rPr>
          <w:rFonts w:ascii="Verdana" w:hAnsi="Verdana" w:cs="Arial"/>
          <w:color w:val="183850" w:themeColor="text1"/>
          <w:sz w:val="20"/>
          <w:szCs w:val="20"/>
        </w:rPr>
        <w:t xml:space="preserve">but </w:t>
      </w:r>
      <w:r w:rsidRPr="003B4083">
        <w:rPr>
          <w:rFonts w:ascii="Verdana" w:hAnsi="Verdana" w:cs="Arial"/>
          <w:color w:val="183850" w:themeColor="text1"/>
          <w:sz w:val="20"/>
          <w:szCs w:val="20"/>
        </w:rPr>
        <w:t xml:space="preserve">do </w:t>
      </w:r>
      <w:r w:rsidRPr="003B4083">
        <w:rPr>
          <w:rFonts w:ascii="Verdana" w:hAnsi="Verdana" w:cs="Arial"/>
          <w:color w:val="183850" w:themeColor="text1"/>
          <w:sz w:val="20"/>
          <w:szCs w:val="20"/>
        </w:rPr>
        <w:lastRenderedPageBreak/>
        <w:t xml:space="preserve">not </w:t>
      </w:r>
      <w:r w:rsidRPr="003B4083">
        <w:rPr>
          <w:rFonts w:ascii="Verdana" w:hAnsi="Verdana" w:cs="Arial"/>
          <w:color w:val="183850" w:themeColor="text1"/>
          <w:sz w:val="20"/>
          <w:szCs w:val="20"/>
        </w:rPr>
        <w:t xml:space="preserve">directly </w:t>
      </w:r>
      <w:r w:rsidRPr="003B4083">
        <w:rPr>
          <w:rFonts w:ascii="Verdana" w:hAnsi="Verdana" w:cs="Arial"/>
          <w:color w:val="183850" w:themeColor="text1"/>
          <w:sz w:val="20"/>
          <w:szCs w:val="20"/>
        </w:rPr>
        <w:t xml:space="preserve">own </w:t>
      </w:r>
      <w:r w:rsidRPr="003B4083">
        <w:rPr>
          <w:rFonts w:ascii="Verdana" w:hAnsi="Verdana" w:cs="Arial"/>
          <w:color w:val="183850" w:themeColor="text1"/>
          <w:sz w:val="20"/>
          <w:szCs w:val="20"/>
        </w:rPr>
        <w:t>underlying securities</w:t>
      </w:r>
      <w:r w:rsidRPr="003B4083">
        <w:rPr>
          <w:rFonts w:ascii="Verdana" w:hAnsi="Verdana" w:cs="Arial"/>
          <w:color w:val="183850" w:themeColor="text1"/>
          <w:sz w:val="20"/>
          <w:szCs w:val="20"/>
        </w:rPr>
        <w:t xml:space="preserve">. LPP I </w:t>
      </w:r>
      <w:r w:rsidRPr="003B4083">
        <w:rPr>
          <w:rFonts w:ascii="Verdana" w:hAnsi="Verdana" w:cs="Arial"/>
          <w:color w:val="183850" w:themeColor="text1"/>
          <w:sz w:val="20"/>
          <w:szCs w:val="20"/>
        </w:rPr>
        <w:t xml:space="preserve">exercises shareholder voting rights </w:t>
      </w:r>
      <w:r w:rsidRPr="003B4083">
        <w:rPr>
          <w:rFonts w:ascii="Verdana" w:hAnsi="Verdana" w:cs="Arial"/>
          <w:color w:val="183850" w:themeColor="text1"/>
          <w:sz w:val="20"/>
          <w:szCs w:val="20"/>
        </w:rPr>
        <w:t>for the GEF centrally rather than delegating voting to individual as</w:t>
      </w:r>
      <w:r w:rsidRPr="003B4083">
        <w:rPr>
          <w:rFonts w:ascii="Verdana" w:hAnsi="Verdana" w:cs="Arial"/>
          <w:color w:val="183850" w:themeColor="text1"/>
          <w:sz w:val="20"/>
          <w:szCs w:val="20"/>
        </w:rPr>
        <w:t xml:space="preserve">set managers. Decisions are taken </w:t>
      </w:r>
      <w:r w:rsidRPr="003B4083">
        <w:rPr>
          <w:rFonts w:ascii="Verdana" w:hAnsi="Verdana" w:cs="Arial"/>
          <w:color w:val="183850" w:themeColor="text1"/>
          <w:sz w:val="20"/>
          <w:szCs w:val="20"/>
        </w:rPr>
        <w:t xml:space="preserve">in </w:t>
      </w:r>
      <w:r w:rsidRPr="003B4083">
        <w:rPr>
          <w:rFonts w:ascii="Verdana" w:hAnsi="Verdana" w:cs="Arial"/>
          <w:color w:val="183850" w:themeColor="text1"/>
          <w:sz w:val="20"/>
          <w:szCs w:val="20"/>
        </w:rPr>
        <w:t xml:space="preserve">line with </w:t>
      </w:r>
      <w:r w:rsidRPr="003B4083">
        <w:rPr>
          <w:rFonts w:ascii="Verdana" w:hAnsi="Verdana" w:cs="Arial"/>
          <w:color w:val="183850" w:themeColor="text1"/>
          <w:sz w:val="20"/>
          <w:szCs w:val="20"/>
        </w:rPr>
        <w:t xml:space="preserve">protecting </w:t>
      </w:r>
      <w:r w:rsidRPr="003B4083">
        <w:rPr>
          <w:rFonts w:ascii="Verdana" w:hAnsi="Verdana" w:cs="Arial"/>
          <w:color w:val="183850" w:themeColor="text1"/>
          <w:sz w:val="20"/>
          <w:szCs w:val="20"/>
        </w:rPr>
        <w:t xml:space="preserve">the </w:t>
      </w:r>
      <w:r w:rsidRPr="003B4083">
        <w:rPr>
          <w:rFonts w:ascii="Verdana" w:hAnsi="Verdana" w:cs="Arial"/>
          <w:color w:val="183850" w:themeColor="text1"/>
          <w:sz w:val="20"/>
          <w:szCs w:val="20"/>
        </w:rPr>
        <w:t xml:space="preserve">collective </w:t>
      </w:r>
      <w:r w:rsidRPr="003B4083">
        <w:rPr>
          <w:rFonts w:ascii="Verdana" w:hAnsi="Verdana" w:cs="Arial"/>
          <w:color w:val="183850" w:themeColor="text1"/>
          <w:sz w:val="20"/>
          <w:szCs w:val="20"/>
        </w:rPr>
        <w:t xml:space="preserve">best interests of </w:t>
      </w:r>
      <w:r w:rsidRPr="003B4083">
        <w:rPr>
          <w:rFonts w:ascii="Verdana" w:hAnsi="Verdana" w:cs="Arial"/>
          <w:color w:val="183850" w:themeColor="text1"/>
          <w:sz w:val="20"/>
          <w:szCs w:val="20"/>
        </w:rPr>
        <w:t>client pension</w:t>
      </w:r>
      <w:r w:rsidRPr="003B4083">
        <w:rPr>
          <w:rFonts w:ascii="Verdana" w:hAnsi="Verdana" w:cs="Arial"/>
          <w:color w:val="183850" w:themeColor="text1"/>
          <w:sz w:val="20"/>
          <w:szCs w:val="20"/>
        </w:rPr>
        <w:t xml:space="preserve"> funds</w:t>
      </w:r>
      <w:r w:rsidRPr="003B4083">
        <w:rPr>
          <w:rFonts w:ascii="Verdana" w:hAnsi="Verdana" w:cs="Arial"/>
          <w:color w:val="183850" w:themeColor="text1"/>
          <w:sz w:val="20"/>
          <w:szCs w:val="20"/>
        </w:rPr>
        <w:t xml:space="preserve"> as institutional investors</w:t>
      </w:r>
      <w:r w:rsidRPr="003B4083">
        <w:rPr>
          <w:rFonts w:ascii="Verdana" w:hAnsi="Verdana" w:cs="Arial"/>
          <w:color w:val="183850" w:themeColor="text1"/>
          <w:sz w:val="20"/>
          <w:szCs w:val="20"/>
        </w:rPr>
        <w:t>.</w:t>
      </w:r>
    </w:p>
    <w:p w:rsidR="00C94FCD" w:rsidRPr="003B4083" w:rsidRDefault="00067BC0" w:rsidP="003B4083">
      <w:pPr>
        <w:autoSpaceDE w:val="0"/>
        <w:autoSpaceDN w:val="0"/>
        <w:adjustRightInd w:val="0"/>
        <w:spacing w:after="0"/>
        <w:rPr>
          <w:rFonts w:ascii="Verdana" w:hAnsi="Verdana" w:cs="Arial"/>
          <w:color w:val="183850" w:themeColor="text1"/>
          <w:sz w:val="20"/>
          <w:szCs w:val="20"/>
        </w:rPr>
      </w:pPr>
    </w:p>
    <w:p w:rsidR="00A93716"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T</w:t>
      </w:r>
      <w:r w:rsidRPr="003B4083">
        <w:rPr>
          <w:rFonts w:ascii="Verdana" w:hAnsi="Verdana" w:cs="Arial"/>
          <w:color w:val="183850" w:themeColor="text1"/>
          <w:sz w:val="20"/>
          <w:szCs w:val="20"/>
        </w:rPr>
        <w:t xml:space="preserve">o ensure shareholder voting rights are </w:t>
      </w:r>
      <w:r w:rsidRPr="003B4083">
        <w:rPr>
          <w:rFonts w:ascii="Verdana" w:hAnsi="Verdana" w:cs="Arial"/>
          <w:color w:val="183850" w:themeColor="text1"/>
          <w:sz w:val="20"/>
          <w:szCs w:val="20"/>
        </w:rPr>
        <w:t xml:space="preserve">exercised </w:t>
      </w:r>
      <w:r w:rsidRPr="003B4083">
        <w:rPr>
          <w:rFonts w:ascii="Verdana" w:hAnsi="Verdana" w:cs="Arial"/>
          <w:color w:val="183850" w:themeColor="text1"/>
          <w:sz w:val="20"/>
          <w:szCs w:val="20"/>
        </w:rPr>
        <w:t>effectively and consistently</w:t>
      </w:r>
      <w:r w:rsidRPr="003B4083">
        <w:rPr>
          <w:rFonts w:ascii="Verdana" w:hAnsi="Verdana" w:cs="Arial"/>
          <w:color w:val="183850" w:themeColor="text1"/>
          <w:sz w:val="20"/>
          <w:szCs w:val="20"/>
        </w:rPr>
        <w:t xml:space="preserve">, LPP I </w:t>
      </w:r>
      <w:r w:rsidRPr="003B4083">
        <w:rPr>
          <w:rFonts w:ascii="Verdana" w:hAnsi="Verdana" w:cs="Arial"/>
          <w:color w:val="183850" w:themeColor="text1"/>
          <w:sz w:val="20"/>
          <w:szCs w:val="20"/>
        </w:rPr>
        <w:t>employs</w:t>
      </w:r>
      <w:r w:rsidRPr="003B4083">
        <w:rPr>
          <w:rFonts w:ascii="Verdana" w:hAnsi="Verdana" w:cs="Arial"/>
          <w:color w:val="183850" w:themeColor="text1"/>
          <w:sz w:val="20"/>
          <w:szCs w:val="20"/>
        </w:rPr>
        <w:t xml:space="preserve"> an external provider of </w:t>
      </w:r>
      <w:r w:rsidRPr="003B4083">
        <w:rPr>
          <w:rFonts w:ascii="Verdana" w:hAnsi="Verdana"/>
          <w:color w:val="183850" w:themeColor="text1"/>
          <w:sz w:val="20"/>
          <w:szCs w:val="20"/>
        </w:rPr>
        <w:t xml:space="preserve">proxy voting and governance </w:t>
      </w:r>
      <w:r w:rsidRPr="003B4083">
        <w:rPr>
          <w:rFonts w:ascii="Verdana" w:hAnsi="Verdana"/>
          <w:color w:val="183850" w:themeColor="text1"/>
          <w:sz w:val="20"/>
          <w:szCs w:val="20"/>
        </w:rPr>
        <w:t xml:space="preserve">research </w:t>
      </w:r>
      <w:r w:rsidRPr="003B4083">
        <w:rPr>
          <w:rFonts w:ascii="Verdana" w:hAnsi="Verdana"/>
          <w:color w:val="183850" w:themeColor="text1"/>
          <w:sz w:val="20"/>
          <w:szCs w:val="20"/>
        </w:rPr>
        <w:t>services</w:t>
      </w:r>
      <w:r w:rsidRPr="003B4083">
        <w:rPr>
          <w:rFonts w:ascii="Verdana" w:hAnsi="Verdana"/>
          <w:color w:val="183850" w:themeColor="text1"/>
          <w:sz w:val="20"/>
          <w:szCs w:val="20"/>
        </w:rPr>
        <w:t>.</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Institutional</w:t>
      </w:r>
      <w:r w:rsidRPr="003B4083">
        <w:rPr>
          <w:rFonts w:ascii="Verdana" w:hAnsi="Verdana" w:cs="Arial"/>
          <w:color w:val="183850" w:themeColor="text1"/>
          <w:sz w:val="20"/>
          <w:szCs w:val="20"/>
        </w:rPr>
        <w:t xml:space="preserve"> Shareholder Services (ISS)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provide voting recommendations in line with an agreed voting policy and </w:t>
      </w:r>
      <w:r w:rsidRPr="003B4083">
        <w:rPr>
          <w:rFonts w:ascii="Verdana" w:hAnsi="Verdana" w:cs="Arial"/>
          <w:color w:val="183850" w:themeColor="text1"/>
          <w:sz w:val="20"/>
          <w:szCs w:val="20"/>
        </w:rPr>
        <w:t xml:space="preserve">oversee administration and vote execution on behalf </w:t>
      </w:r>
      <w:r w:rsidRPr="003B4083">
        <w:rPr>
          <w:rFonts w:ascii="Verdana" w:hAnsi="Verdana" w:cs="Arial"/>
          <w:color w:val="183850" w:themeColor="text1"/>
          <w:sz w:val="20"/>
          <w:szCs w:val="20"/>
        </w:rPr>
        <w:t>LPP I</w:t>
      </w:r>
      <w:r w:rsidRPr="003B4083">
        <w:rPr>
          <w:rFonts w:ascii="Verdana" w:hAnsi="Verdana" w:cs="Arial"/>
          <w:color w:val="183850" w:themeColor="text1"/>
          <w:sz w:val="20"/>
          <w:szCs w:val="20"/>
        </w:rPr>
        <w:t>.</w:t>
      </w:r>
    </w:p>
    <w:p w:rsidR="00197BA3"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 </w:t>
      </w:r>
    </w:p>
    <w:p w:rsidR="00287D25" w:rsidRPr="003B4083" w:rsidRDefault="00067BC0" w:rsidP="003B4083">
      <w:pPr>
        <w:widowControl w:val="0"/>
        <w:spacing w:after="0"/>
        <w:outlineLvl w:val="0"/>
        <w:rPr>
          <w:rFonts w:ascii="Verdana" w:hAnsi="Verdana" w:cs="Arial"/>
          <w:bCs/>
          <w:color w:val="183850" w:themeColor="text1"/>
          <w:sz w:val="20"/>
          <w:szCs w:val="20"/>
        </w:rPr>
      </w:pPr>
      <w:r w:rsidRPr="003B4083">
        <w:rPr>
          <w:rFonts w:ascii="Verdana" w:hAnsi="Verdana" w:cs="Arial"/>
          <w:bCs/>
          <w:color w:val="183850" w:themeColor="text1"/>
          <w:sz w:val="20"/>
          <w:szCs w:val="20"/>
        </w:rPr>
        <w:t xml:space="preserve">ISS services </w:t>
      </w:r>
      <w:r w:rsidRPr="003B4083">
        <w:rPr>
          <w:rFonts w:ascii="Verdana" w:hAnsi="Verdana" w:cs="Arial"/>
          <w:bCs/>
          <w:color w:val="183850" w:themeColor="text1"/>
          <w:sz w:val="20"/>
          <w:szCs w:val="20"/>
        </w:rPr>
        <w:t>operate through</w:t>
      </w:r>
      <w:r w:rsidRPr="003B4083">
        <w:rPr>
          <w:rFonts w:ascii="Verdana" w:hAnsi="Verdana" w:cs="Arial"/>
          <w:bCs/>
          <w:color w:val="183850" w:themeColor="text1"/>
          <w:sz w:val="20"/>
          <w:szCs w:val="20"/>
        </w:rPr>
        <w:t xml:space="preserve"> an online </w:t>
      </w:r>
      <w:r w:rsidRPr="003B4083">
        <w:rPr>
          <w:rFonts w:ascii="Verdana" w:hAnsi="Verdana" w:cs="Arial"/>
          <w:bCs/>
          <w:color w:val="183850" w:themeColor="text1"/>
          <w:sz w:val="20"/>
          <w:szCs w:val="20"/>
        </w:rPr>
        <w:t xml:space="preserve">voting </w:t>
      </w:r>
      <w:r w:rsidRPr="003B4083">
        <w:rPr>
          <w:rFonts w:ascii="Verdana" w:hAnsi="Verdana" w:cs="Arial"/>
          <w:bCs/>
          <w:color w:val="183850" w:themeColor="text1"/>
          <w:sz w:val="20"/>
          <w:szCs w:val="20"/>
        </w:rPr>
        <w:t>platform (</w:t>
      </w:r>
      <w:r w:rsidRPr="003B4083">
        <w:rPr>
          <w:rFonts w:ascii="Verdana" w:hAnsi="Verdana" w:cs="Arial"/>
          <w:bCs/>
          <w:color w:val="183850" w:themeColor="text1"/>
          <w:sz w:val="20"/>
          <w:szCs w:val="20"/>
        </w:rPr>
        <w:t>ProxyExchange</w:t>
      </w:r>
      <w:r w:rsidRPr="003B4083">
        <w:rPr>
          <w:rFonts w:ascii="Verdana" w:hAnsi="Verdana" w:cs="Arial"/>
          <w:bCs/>
          <w:color w:val="183850" w:themeColor="text1"/>
          <w:sz w:val="20"/>
          <w:szCs w:val="20"/>
        </w:rPr>
        <w:t>)</w:t>
      </w:r>
      <w:r w:rsidRPr="003B4083">
        <w:rPr>
          <w:rFonts w:ascii="Verdana" w:hAnsi="Verdana" w:cs="Arial"/>
          <w:bCs/>
          <w:color w:val="183850" w:themeColor="text1"/>
          <w:sz w:val="20"/>
          <w:szCs w:val="20"/>
        </w:rPr>
        <w:t xml:space="preserve"> which enables </w:t>
      </w:r>
      <w:r w:rsidRPr="003B4083">
        <w:rPr>
          <w:rFonts w:ascii="Verdana" w:hAnsi="Verdana" w:cs="Arial"/>
          <w:bCs/>
          <w:color w:val="183850" w:themeColor="text1"/>
          <w:sz w:val="20"/>
          <w:szCs w:val="20"/>
        </w:rPr>
        <w:t xml:space="preserve">LPP I to evaluate </w:t>
      </w:r>
      <w:r w:rsidRPr="003B4083">
        <w:rPr>
          <w:rFonts w:ascii="Verdana" w:hAnsi="Verdana" w:cs="Arial"/>
          <w:bCs/>
          <w:color w:val="183850" w:themeColor="text1"/>
          <w:sz w:val="20"/>
          <w:szCs w:val="20"/>
        </w:rPr>
        <w:t xml:space="preserve">pre-meeting research and analysis and </w:t>
      </w:r>
      <w:r w:rsidRPr="003B4083">
        <w:rPr>
          <w:rFonts w:ascii="Verdana" w:hAnsi="Verdana" w:cs="Arial"/>
          <w:bCs/>
          <w:color w:val="183850" w:themeColor="text1"/>
          <w:sz w:val="20"/>
          <w:szCs w:val="20"/>
        </w:rPr>
        <w:t xml:space="preserve">review </w:t>
      </w:r>
      <w:r w:rsidRPr="003B4083">
        <w:rPr>
          <w:rFonts w:ascii="Verdana" w:hAnsi="Verdana" w:cs="Arial"/>
          <w:bCs/>
          <w:color w:val="183850" w:themeColor="text1"/>
          <w:sz w:val="20"/>
          <w:szCs w:val="20"/>
        </w:rPr>
        <w:t xml:space="preserve">ISS </w:t>
      </w:r>
      <w:r w:rsidRPr="003B4083">
        <w:rPr>
          <w:rFonts w:ascii="Verdana" w:hAnsi="Verdana" w:cs="Arial"/>
          <w:bCs/>
          <w:color w:val="183850" w:themeColor="text1"/>
          <w:sz w:val="20"/>
          <w:szCs w:val="20"/>
        </w:rPr>
        <w:t>votin</w:t>
      </w:r>
      <w:r w:rsidRPr="003B4083">
        <w:rPr>
          <w:rFonts w:ascii="Verdana" w:hAnsi="Verdana" w:cs="Arial"/>
          <w:bCs/>
          <w:color w:val="183850" w:themeColor="text1"/>
          <w:sz w:val="20"/>
          <w:szCs w:val="20"/>
        </w:rPr>
        <w:t xml:space="preserve">g recommendations </w:t>
      </w:r>
      <w:r w:rsidRPr="003B4083">
        <w:rPr>
          <w:rFonts w:ascii="Verdana" w:hAnsi="Verdana" w:cs="Arial"/>
          <w:bCs/>
          <w:color w:val="183850" w:themeColor="text1"/>
          <w:sz w:val="20"/>
          <w:szCs w:val="20"/>
        </w:rPr>
        <w:t>in advance</w:t>
      </w:r>
      <w:r w:rsidRPr="003B4083">
        <w:rPr>
          <w:rFonts w:ascii="Verdana" w:hAnsi="Verdana" w:cs="Arial"/>
          <w:bCs/>
          <w:color w:val="183850" w:themeColor="text1"/>
          <w:sz w:val="20"/>
          <w:szCs w:val="20"/>
        </w:rPr>
        <w:t xml:space="preserve"> </w:t>
      </w:r>
      <w:r w:rsidRPr="003B4083">
        <w:rPr>
          <w:rFonts w:ascii="Verdana" w:hAnsi="Verdana" w:cs="Arial"/>
          <w:bCs/>
          <w:color w:val="183850" w:themeColor="text1"/>
          <w:sz w:val="20"/>
          <w:szCs w:val="20"/>
        </w:rPr>
        <w:t xml:space="preserve">in order to </w:t>
      </w:r>
      <w:r w:rsidRPr="003B4083">
        <w:rPr>
          <w:rFonts w:ascii="Verdana" w:hAnsi="Verdana" w:cs="Arial"/>
          <w:bCs/>
          <w:color w:val="183850" w:themeColor="text1"/>
          <w:sz w:val="20"/>
          <w:szCs w:val="20"/>
        </w:rPr>
        <w:t xml:space="preserve">decide whether to </w:t>
      </w:r>
      <w:r>
        <w:rPr>
          <w:rFonts w:ascii="Verdana" w:hAnsi="Verdana" w:cs="Arial"/>
          <w:bCs/>
          <w:color w:val="183850" w:themeColor="text1"/>
          <w:sz w:val="20"/>
          <w:szCs w:val="20"/>
        </w:rPr>
        <w:t xml:space="preserve">follow or </w:t>
      </w:r>
      <w:r w:rsidRPr="003B4083">
        <w:rPr>
          <w:rFonts w:ascii="Verdana" w:hAnsi="Verdana" w:cs="Arial"/>
          <w:bCs/>
          <w:color w:val="183850" w:themeColor="text1"/>
          <w:sz w:val="20"/>
          <w:szCs w:val="20"/>
        </w:rPr>
        <w:t>depart from these</w:t>
      </w:r>
      <w:r w:rsidRPr="003B4083">
        <w:rPr>
          <w:rFonts w:ascii="Verdana" w:hAnsi="Verdana" w:cs="Arial"/>
          <w:bCs/>
          <w:color w:val="183850" w:themeColor="text1"/>
          <w:sz w:val="20"/>
          <w:szCs w:val="20"/>
        </w:rPr>
        <w:t xml:space="preserve">. </w:t>
      </w:r>
      <w:r w:rsidRPr="003B4083">
        <w:rPr>
          <w:rFonts w:ascii="Verdana" w:hAnsi="Verdana" w:cs="Arial"/>
          <w:bCs/>
          <w:color w:val="183850" w:themeColor="text1"/>
          <w:sz w:val="20"/>
          <w:szCs w:val="20"/>
        </w:rPr>
        <w:t xml:space="preserve">The </w:t>
      </w:r>
      <w:r w:rsidRPr="003B4083">
        <w:rPr>
          <w:rFonts w:ascii="Verdana" w:hAnsi="Verdana" w:cs="Arial"/>
          <w:bCs/>
          <w:color w:val="183850" w:themeColor="text1"/>
          <w:sz w:val="20"/>
          <w:szCs w:val="20"/>
        </w:rPr>
        <w:t>platform</w:t>
      </w:r>
      <w:r w:rsidRPr="003B4083">
        <w:rPr>
          <w:rFonts w:ascii="Verdana" w:hAnsi="Verdana" w:cs="Arial"/>
          <w:bCs/>
          <w:color w:val="183850" w:themeColor="text1"/>
          <w:sz w:val="20"/>
          <w:szCs w:val="20"/>
        </w:rPr>
        <w:t xml:space="preserve"> also provides functionality</w:t>
      </w:r>
      <w:r w:rsidRPr="003B4083">
        <w:rPr>
          <w:rFonts w:ascii="Verdana" w:hAnsi="Verdana" w:cs="Arial"/>
          <w:bCs/>
          <w:color w:val="183850" w:themeColor="text1"/>
          <w:sz w:val="20"/>
          <w:szCs w:val="20"/>
        </w:rPr>
        <w:t xml:space="preserve"> </w:t>
      </w:r>
      <w:r w:rsidRPr="003B4083">
        <w:rPr>
          <w:rFonts w:ascii="Verdana" w:hAnsi="Verdana" w:cs="Arial"/>
          <w:bCs/>
          <w:color w:val="183850" w:themeColor="text1"/>
          <w:sz w:val="20"/>
          <w:szCs w:val="20"/>
        </w:rPr>
        <w:t>to</w:t>
      </w:r>
      <w:r w:rsidRPr="003B4083">
        <w:rPr>
          <w:rFonts w:ascii="Verdana" w:hAnsi="Verdana" w:cs="Arial"/>
          <w:bCs/>
          <w:color w:val="183850" w:themeColor="text1"/>
          <w:sz w:val="20"/>
          <w:szCs w:val="20"/>
        </w:rPr>
        <w:t xml:space="preserve"> </w:t>
      </w:r>
      <w:r w:rsidRPr="003B4083">
        <w:rPr>
          <w:rFonts w:ascii="Verdana" w:hAnsi="Verdana" w:cs="Arial"/>
          <w:bCs/>
          <w:color w:val="183850" w:themeColor="text1"/>
          <w:sz w:val="20"/>
          <w:szCs w:val="20"/>
        </w:rPr>
        <w:t xml:space="preserve">support </w:t>
      </w:r>
      <w:r w:rsidRPr="003B4083">
        <w:rPr>
          <w:rFonts w:ascii="Verdana" w:hAnsi="Verdana" w:cs="Arial"/>
          <w:bCs/>
          <w:color w:val="183850" w:themeColor="text1"/>
          <w:sz w:val="20"/>
          <w:szCs w:val="20"/>
        </w:rPr>
        <w:t>monitoring</w:t>
      </w:r>
      <w:r w:rsidRPr="003B4083">
        <w:rPr>
          <w:rFonts w:ascii="Verdana" w:hAnsi="Verdana" w:cs="Arial"/>
          <w:bCs/>
          <w:color w:val="183850" w:themeColor="text1"/>
          <w:sz w:val="20"/>
          <w:szCs w:val="20"/>
        </w:rPr>
        <w:t>,</w:t>
      </w:r>
      <w:r w:rsidRPr="003B4083">
        <w:rPr>
          <w:rFonts w:ascii="Verdana" w:hAnsi="Verdana" w:cs="Arial"/>
          <w:bCs/>
          <w:color w:val="183850" w:themeColor="text1"/>
          <w:sz w:val="20"/>
          <w:szCs w:val="20"/>
        </w:rPr>
        <w:t xml:space="preserve"> oversight </w:t>
      </w:r>
      <w:r w:rsidRPr="003B4083">
        <w:rPr>
          <w:rFonts w:ascii="Verdana" w:hAnsi="Verdana" w:cs="Arial"/>
          <w:bCs/>
          <w:color w:val="183850" w:themeColor="text1"/>
          <w:sz w:val="20"/>
          <w:szCs w:val="20"/>
        </w:rPr>
        <w:t>and reporting on voting activities.</w:t>
      </w:r>
    </w:p>
    <w:p w:rsidR="00287D25" w:rsidRPr="003B4083" w:rsidRDefault="00067BC0" w:rsidP="003B4083">
      <w:pPr>
        <w:widowControl w:val="0"/>
        <w:spacing w:after="0"/>
        <w:outlineLvl w:val="0"/>
        <w:rPr>
          <w:rFonts w:ascii="Verdana" w:hAnsi="Verdana" w:cs="Arial"/>
          <w:bCs/>
          <w:color w:val="183850" w:themeColor="text1"/>
          <w:sz w:val="20"/>
          <w:szCs w:val="20"/>
        </w:rPr>
      </w:pPr>
    </w:p>
    <w:p w:rsidR="009D783C" w:rsidRPr="003B4083" w:rsidRDefault="00067BC0" w:rsidP="003B4083">
      <w:pPr>
        <w:widowControl w:val="0"/>
        <w:spacing w:after="0"/>
        <w:outlineLvl w:val="0"/>
        <w:rPr>
          <w:rFonts w:ascii="Verdana" w:hAnsi="Verdana" w:cs="Arial"/>
          <w:bCs/>
          <w:color w:val="183850" w:themeColor="text1"/>
          <w:sz w:val="20"/>
          <w:szCs w:val="20"/>
        </w:rPr>
      </w:pPr>
      <w:r w:rsidRPr="003B4083">
        <w:rPr>
          <w:rFonts w:ascii="Verdana" w:hAnsi="Verdana" w:cs="Arial"/>
          <w:bCs/>
          <w:color w:val="183850" w:themeColor="text1"/>
          <w:sz w:val="20"/>
          <w:szCs w:val="20"/>
        </w:rPr>
        <w:t xml:space="preserve">Voting headlines </w:t>
      </w:r>
      <w:r w:rsidRPr="003B4083">
        <w:rPr>
          <w:rFonts w:ascii="Verdana" w:hAnsi="Verdana" w:cs="Arial"/>
          <w:bCs/>
          <w:color w:val="183850" w:themeColor="text1"/>
          <w:sz w:val="20"/>
          <w:szCs w:val="20"/>
        </w:rPr>
        <w:t>for the GEF in</w:t>
      </w:r>
      <w:r w:rsidRPr="003B4083">
        <w:rPr>
          <w:rFonts w:ascii="Verdana" w:hAnsi="Verdana" w:cs="Arial"/>
          <w:bCs/>
          <w:color w:val="183850" w:themeColor="text1"/>
          <w:sz w:val="20"/>
          <w:szCs w:val="20"/>
        </w:rPr>
        <w:t xml:space="preserve"> the </w:t>
      </w:r>
      <w:r w:rsidRPr="003B4083">
        <w:rPr>
          <w:rFonts w:ascii="Verdana" w:hAnsi="Verdana" w:cs="Arial"/>
          <w:bCs/>
          <w:color w:val="183850" w:themeColor="text1"/>
          <w:sz w:val="20"/>
          <w:szCs w:val="20"/>
        </w:rPr>
        <w:t>first quarter of 2017</w:t>
      </w:r>
      <w:r w:rsidRPr="003B4083">
        <w:rPr>
          <w:rFonts w:ascii="Verdana" w:hAnsi="Verdana" w:cs="Arial"/>
          <w:bCs/>
          <w:color w:val="183850" w:themeColor="text1"/>
          <w:sz w:val="20"/>
          <w:szCs w:val="20"/>
        </w:rPr>
        <w:t xml:space="preserve"> were as follows:</w:t>
      </w:r>
    </w:p>
    <w:tbl>
      <w:tblPr>
        <w:tblpPr w:leftFromText="180" w:rightFromText="180" w:vertAnchor="text" w:horzAnchor="margin" w:tblpY="17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0" w:type="dxa"/>
          <w:right w:w="0" w:type="dxa"/>
        </w:tblCellMar>
        <w:tblLook w:val="04A0" w:firstRow="1" w:lastRow="0" w:firstColumn="1" w:lastColumn="0" w:noHBand="0" w:noVBand="1"/>
      </w:tblPr>
      <w:tblGrid>
        <w:gridCol w:w="6702"/>
        <w:gridCol w:w="860"/>
        <w:gridCol w:w="655"/>
      </w:tblGrid>
      <w:tr w:rsidR="003A433B" w:rsidTr="008015F8">
        <w:trPr>
          <w:trHeight w:val="255"/>
        </w:trPr>
        <w:tc>
          <w:tcPr>
            <w:tcW w:w="6702" w:type="dxa"/>
            <w:shd w:val="clear" w:color="000000" w:fill="FFFFFF" w:themeFill="background1"/>
            <w:noWrap/>
            <w:tcMar>
              <w:top w:w="15" w:type="dxa"/>
              <w:left w:w="15" w:type="dxa"/>
              <w:bottom w:w="0" w:type="dxa"/>
              <w:right w:w="15" w:type="dxa"/>
            </w:tcMar>
            <w:vAlign w:val="center"/>
            <w:hideMark/>
          </w:tcPr>
          <w:p w:rsidR="002D0980"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Total</w:t>
            </w:r>
            <w:r w:rsidRPr="003B4083">
              <w:rPr>
                <w:rFonts w:ascii="Verdana" w:hAnsi="Verdana" w:cs="Arial"/>
                <w:bCs/>
                <w:color w:val="183850" w:themeColor="text1"/>
                <w:sz w:val="20"/>
                <w:szCs w:val="20"/>
              </w:rPr>
              <w:t xml:space="preserve"> c</w:t>
            </w:r>
            <w:r w:rsidRPr="003B4083">
              <w:rPr>
                <w:rFonts w:ascii="Verdana" w:hAnsi="Verdana" w:cs="Arial"/>
                <w:bCs/>
                <w:color w:val="183850" w:themeColor="text1"/>
                <w:sz w:val="20"/>
                <w:szCs w:val="20"/>
              </w:rPr>
              <w:t>ompany</w:t>
            </w:r>
            <w:r w:rsidRPr="003B4083">
              <w:rPr>
                <w:rFonts w:ascii="Verdana" w:hAnsi="Verdana" w:cs="Arial"/>
                <w:bCs/>
                <w:color w:val="183850" w:themeColor="text1"/>
                <w:sz w:val="20"/>
                <w:szCs w:val="20"/>
              </w:rPr>
              <w:t xml:space="preserve"> m</w:t>
            </w:r>
            <w:r w:rsidRPr="003B4083">
              <w:rPr>
                <w:rFonts w:ascii="Verdana" w:hAnsi="Verdana" w:cs="Arial"/>
                <w:bCs/>
                <w:color w:val="183850" w:themeColor="text1"/>
                <w:sz w:val="20"/>
                <w:szCs w:val="20"/>
              </w:rPr>
              <w:t>eetings</w:t>
            </w:r>
            <w:r w:rsidRPr="003B4083">
              <w:rPr>
                <w:rFonts w:ascii="Verdana" w:hAnsi="Verdana" w:cs="Arial"/>
                <w:bCs/>
                <w:color w:val="183850" w:themeColor="text1"/>
                <w:sz w:val="20"/>
                <w:szCs w:val="20"/>
              </w:rPr>
              <w:t xml:space="preserve"> taking place</w:t>
            </w:r>
            <w:r w:rsidRPr="003B4083">
              <w:rPr>
                <w:rFonts w:ascii="Verdana" w:hAnsi="Verdana" w:cs="Arial"/>
                <w:bCs/>
                <w:color w:val="183850" w:themeColor="text1"/>
                <w:sz w:val="20"/>
                <w:szCs w:val="20"/>
              </w:rPr>
              <w:t xml:space="preserve"> </w:t>
            </w:r>
          </w:p>
        </w:tc>
        <w:tc>
          <w:tcPr>
            <w:tcW w:w="860" w:type="dxa"/>
            <w:tcBorders>
              <w:right w:val="single" w:sz="4" w:space="0" w:color="auto"/>
            </w:tcBorders>
            <w:shd w:val="clear" w:color="000000" w:fill="FFFFFF" w:themeFill="background1"/>
            <w:noWrap/>
            <w:tcMar>
              <w:top w:w="15" w:type="dxa"/>
              <w:left w:w="15" w:type="dxa"/>
              <w:bottom w:w="0" w:type="dxa"/>
              <w:right w:w="15" w:type="dxa"/>
            </w:tcMar>
            <w:vAlign w:val="center"/>
            <w:hideMark/>
          </w:tcPr>
          <w:p w:rsidR="002D0980"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29</w:t>
            </w:r>
          </w:p>
        </w:tc>
        <w:tc>
          <w:tcPr>
            <w:tcW w:w="655" w:type="dxa"/>
            <w:tcBorders>
              <w:top w:val="nil"/>
              <w:left w:val="single" w:sz="4" w:space="0" w:color="auto"/>
              <w:bottom w:val="nil"/>
              <w:right w:val="nil"/>
            </w:tcBorders>
            <w:shd w:val="clear" w:color="000000" w:fill="FFFFFF" w:themeFill="background1"/>
          </w:tcPr>
          <w:p w:rsidR="002D0980" w:rsidRPr="003B4083" w:rsidRDefault="00067BC0" w:rsidP="003B4083">
            <w:pPr>
              <w:spacing w:after="0"/>
              <w:jc w:val="center"/>
              <w:rPr>
                <w:rFonts w:ascii="Verdana" w:hAnsi="Verdana" w:cs="Arial"/>
                <w:bCs/>
                <w:color w:val="183850" w:themeColor="text1"/>
                <w:sz w:val="20"/>
                <w:szCs w:val="20"/>
              </w:rPr>
            </w:pPr>
          </w:p>
        </w:tc>
      </w:tr>
      <w:tr w:rsidR="003A433B"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2D0980"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 xml:space="preserve">Total </w:t>
            </w:r>
            <w:r w:rsidRPr="003B4083">
              <w:rPr>
                <w:rFonts w:ascii="Verdana" w:hAnsi="Verdana" w:cs="Arial"/>
                <w:bCs/>
                <w:color w:val="183850" w:themeColor="text1"/>
                <w:sz w:val="20"/>
                <w:szCs w:val="20"/>
              </w:rPr>
              <w:t>r</w:t>
            </w:r>
            <w:r w:rsidRPr="003B4083">
              <w:rPr>
                <w:rFonts w:ascii="Verdana" w:hAnsi="Verdana" w:cs="Arial"/>
                <w:bCs/>
                <w:color w:val="183850" w:themeColor="text1"/>
                <w:sz w:val="20"/>
                <w:szCs w:val="20"/>
              </w:rPr>
              <w:t>esolutions</w:t>
            </w:r>
            <w:r w:rsidRPr="003B4083">
              <w:rPr>
                <w:rFonts w:ascii="Verdana" w:hAnsi="Verdana" w:cs="Arial"/>
                <w:bCs/>
                <w:color w:val="183850" w:themeColor="text1"/>
                <w:sz w:val="20"/>
                <w:szCs w:val="20"/>
              </w:rPr>
              <w:t xml:space="preserve"> </w:t>
            </w:r>
            <w:r w:rsidRPr="003B4083">
              <w:rPr>
                <w:rFonts w:ascii="Verdana" w:hAnsi="Verdana" w:cs="Arial"/>
                <w:bCs/>
                <w:color w:val="183850" w:themeColor="text1"/>
                <w:sz w:val="20"/>
                <w:szCs w:val="20"/>
              </w:rPr>
              <w:t xml:space="preserve">(management </w:t>
            </w:r>
            <w:r w:rsidRPr="003B4083">
              <w:rPr>
                <w:rFonts w:ascii="Verdana" w:hAnsi="Verdana" w:cs="Arial"/>
                <w:bCs/>
                <w:color w:val="183850" w:themeColor="text1"/>
                <w:sz w:val="20"/>
                <w:szCs w:val="20"/>
              </w:rPr>
              <w:t>and shareholder</w:t>
            </w:r>
            <w:r w:rsidRPr="003B4083">
              <w:rPr>
                <w:rFonts w:ascii="Verdana" w:hAnsi="Verdana" w:cs="Arial"/>
                <w:bCs/>
                <w:color w:val="183850" w:themeColor="text1"/>
                <w:sz w:val="20"/>
                <w:szCs w:val="20"/>
              </w:rPr>
              <w:t xml:space="preserve"> proposals</w:t>
            </w:r>
            <w:r w:rsidRPr="003B4083">
              <w:rPr>
                <w:rFonts w:ascii="Verdana" w:hAnsi="Verdana" w:cs="Arial"/>
                <w:bCs/>
                <w:color w:val="183850" w:themeColor="text1"/>
                <w:sz w:val="20"/>
                <w:szCs w:val="20"/>
              </w:rPr>
              <w:t>)</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2D0980"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525</w:t>
            </w:r>
          </w:p>
        </w:tc>
        <w:tc>
          <w:tcPr>
            <w:tcW w:w="655" w:type="dxa"/>
            <w:tcBorders>
              <w:top w:val="nil"/>
              <w:left w:val="single" w:sz="4" w:space="0" w:color="auto"/>
              <w:bottom w:val="nil"/>
              <w:right w:val="nil"/>
            </w:tcBorders>
            <w:shd w:val="clear" w:color="000000" w:fill="FFFFFF" w:themeFill="background1"/>
          </w:tcPr>
          <w:p w:rsidR="002D0980" w:rsidRPr="003B4083" w:rsidRDefault="00067BC0" w:rsidP="003B4083">
            <w:pPr>
              <w:spacing w:after="0"/>
              <w:jc w:val="center"/>
              <w:rPr>
                <w:rFonts w:ascii="Verdana" w:hAnsi="Verdana" w:cs="Arial"/>
                <w:bCs/>
                <w:color w:val="183850" w:themeColor="text1"/>
                <w:sz w:val="20"/>
                <w:szCs w:val="20"/>
              </w:rPr>
            </w:pPr>
          </w:p>
        </w:tc>
      </w:tr>
      <w:tr w:rsidR="003A433B" w:rsidTr="008015F8">
        <w:trPr>
          <w:trHeight w:val="255"/>
        </w:trPr>
        <w:tc>
          <w:tcPr>
            <w:tcW w:w="0" w:type="auto"/>
            <w:shd w:val="clear" w:color="000000" w:fill="FFFFFF" w:themeFill="background1"/>
            <w:noWrap/>
            <w:tcMar>
              <w:top w:w="15" w:type="dxa"/>
              <w:left w:w="15" w:type="dxa"/>
              <w:bottom w:w="0" w:type="dxa"/>
              <w:right w:w="15" w:type="dxa"/>
            </w:tcMar>
            <w:vAlign w:val="center"/>
          </w:tcPr>
          <w:p w:rsidR="00E475A1"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Total company proposals in the period</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tcPr>
          <w:p w:rsidR="00E475A1"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488</w:t>
            </w:r>
          </w:p>
        </w:tc>
        <w:tc>
          <w:tcPr>
            <w:tcW w:w="655" w:type="dxa"/>
            <w:tcBorders>
              <w:top w:val="nil"/>
              <w:left w:val="single" w:sz="4" w:space="0" w:color="auto"/>
              <w:bottom w:val="nil"/>
              <w:right w:val="nil"/>
            </w:tcBorders>
            <w:shd w:val="clear" w:color="000000" w:fill="FFFFFF" w:themeFill="background1"/>
          </w:tcPr>
          <w:p w:rsidR="00E475A1" w:rsidRPr="003B4083" w:rsidRDefault="00067BC0" w:rsidP="003B4083">
            <w:pPr>
              <w:spacing w:after="0"/>
              <w:jc w:val="center"/>
              <w:rPr>
                <w:rFonts w:ascii="Verdana" w:hAnsi="Verdana" w:cs="Arial"/>
                <w:bCs/>
                <w:color w:val="183850" w:themeColor="text1"/>
                <w:sz w:val="20"/>
                <w:szCs w:val="20"/>
              </w:rPr>
            </w:pPr>
          </w:p>
        </w:tc>
      </w:tr>
      <w:tr w:rsidR="003A433B" w:rsidTr="008015F8">
        <w:trPr>
          <w:trHeight w:val="255"/>
        </w:trPr>
        <w:tc>
          <w:tcPr>
            <w:tcW w:w="0" w:type="auto"/>
            <w:shd w:val="clear" w:color="000000" w:fill="FFFFFF" w:themeFill="background1"/>
            <w:noWrap/>
            <w:tcMar>
              <w:top w:w="15" w:type="dxa"/>
              <w:left w:w="15" w:type="dxa"/>
              <w:bottom w:w="0" w:type="dxa"/>
              <w:right w:w="15" w:type="dxa"/>
            </w:tcMar>
            <w:vAlign w:val="center"/>
          </w:tcPr>
          <w:p w:rsidR="00E475A1"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 xml:space="preserve">Total shareholder proposals in the period </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tcPr>
          <w:p w:rsidR="00E475A1"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37</w:t>
            </w:r>
          </w:p>
        </w:tc>
        <w:tc>
          <w:tcPr>
            <w:tcW w:w="655" w:type="dxa"/>
            <w:tcBorders>
              <w:top w:val="nil"/>
              <w:left w:val="single" w:sz="4" w:space="0" w:color="auto"/>
              <w:bottom w:val="single" w:sz="4" w:space="0" w:color="auto"/>
              <w:right w:val="nil"/>
            </w:tcBorders>
            <w:shd w:val="clear" w:color="000000" w:fill="FFFFFF" w:themeFill="background1"/>
          </w:tcPr>
          <w:p w:rsidR="00E475A1" w:rsidRPr="003B4083" w:rsidRDefault="00067BC0" w:rsidP="003B4083">
            <w:pPr>
              <w:spacing w:after="0"/>
              <w:jc w:val="center"/>
              <w:rPr>
                <w:rFonts w:ascii="Verdana" w:hAnsi="Verdana" w:cs="Arial"/>
                <w:bCs/>
                <w:color w:val="183850" w:themeColor="text1"/>
                <w:sz w:val="20"/>
                <w:szCs w:val="20"/>
              </w:rPr>
            </w:pPr>
          </w:p>
        </w:tc>
      </w:tr>
      <w:tr w:rsidR="003A433B"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E475A1"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 xml:space="preserve">Votes in </w:t>
            </w:r>
            <w:r w:rsidRPr="003B4083">
              <w:rPr>
                <w:rFonts w:ascii="Verdana" w:hAnsi="Verdana" w:cs="Arial"/>
                <w:bCs/>
                <w:color w:val="183850" w:themeColor="text1"/>
                <w:sz w:val="20"/>
                <w:szCs w:val="20"/>
              </w:rPr>
              <w:t>line with</w:t>
            </w:r>
            <w:r w:rsidRPr="003B4083">
              <w:rPr>
                <w:rFonts w:ascii="Verdana" w:hAnsi="Verdana" w:cs="Arial"/>
                <w:bCs/>
                <w:color w:val="183850" w:themeColor="text1"/>
                <w:sz w:val="20"/>
                <w:szCs w:val="20"/>
              </w:rPr>
              <w:t xml:space="preserve"> Management</w:t>
            </w:r>
            <w:r w:rsidRPr="003B4083">
              <w:rPr>
                <w:rFonts w:ascii="Verdana" w:hAnsi="Verdana" w:cs="Arial"/>
                <w:bCs/>
                <w:color w:val="183850" w:themeColor="text1"/>
                <w:sz w:val="20"/>
                <w:szCs w:val="20"/>
              </w:rPr>
              <w:t xml:space="preserve"> recommendations</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E475A1"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502</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3B4083" w:rsidRDefault="00067BC0" w:rsidP="003B4083">
            <w:pPr>
              <w:spacing w:after="0"/>
              <w:jc w:val="right"/>
              <w:rPr>
                <w:rFonts w:ascii="Verdana" w:hAnsi="Verdana" w:cs="Arial"/>
                <w:bCs/>
                <w:color w:val="183850" w:themeColor="text1"/>
                <w:sz w:val="20"/>
                <w:szCs w:val="20"/>
              </w:rPr>
            </w:pPr>
            <w:r w:rsidRPr="003B4083">
              <w:rPr>
                <w:rFonts w:ascii="Verdana" w:hAnsi="Verdana" w:cs="Arial"/>
                <w:bCs/>
                <w:color w:val="183850" w:themeColor="text1"/>
                <w:sz w:val="20"/>
                <w:szCs w:val="20"/>
              </w:rPr>
              <w:t>96%</w:t>
            </w:r>
          </w:p>
        </w:tc>
      </w:tr>
      <w:tr w:rsidR="003A433B"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E475A1"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Votes opposing Management</w:t>
            </w:r>
            <w:r w:rsidRPr="003B4083">
              <w:rPr>
                <w:rFonts w:ascii="Verdana" w:hAnsi="Verdana" w:cs="Arial"/>
                <w:bCs/>
                <w:color w:val="183850" w:themeColor="text1"/>
                <w:sz w:val="20"/>
                <w:szCs w:val="20"/>
              </w:rPr>
              <w:t xml:space="preserve"> recommendations</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E475A1"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23</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3B4083" w:rsidRDefault="00067BC0" w:rsidP="003B4083">
            <w:pPr>
              <w:spacing w:after="0"/>
              <w:jc w:val="right"/>
              <w:rPr>
                <w:rFonts w:ascii="Verdana" w:hAnsi="Verdana" w:cs="Arial"/>
                <w:bCs/>
                <w:color w:val="183850" w:themeColor="text1"/>
                <w:sz w:val="20"/>
                <w:szCs w:val="20"/>
              </w:rPr>
            </w:pPr>
            <w:r w:rsidRPr="003B4083">
              <w:rPr>
                <w:rFonts w:ascii="Verdana" w:hAnsi="Verdana" w:cs="Arial"/>
                <w:bCs/>
                <w:color w:val="183850" w:themeColor="text1"/>
                <w:sz w:val="20"/>
                <w:szCs w:val="20"/>
              </w:rPr>
              <w:t>4%</w:t>
            </w:r>
          </w:p>
        </w:tc>
      </w:tr>
      <w:tr w:rsidR="003A433B" w:rsidTr="008015F8">
        <w:trPr>
          <w:trHeight w:val="255"/>
        </w:trPr>
        <w:tc>
          <w:tcPr>
            <w:tcW w:w="0" w:type="auto"/>
            <w:shd w:val="clear" w:color="000000" w:fill="FFFFFF" w:themeFill="background1"/>
            <w:noWrap/>
            <w:tcMar>
              <w:top w:w="15" w:type="dxa"/>
              <w:left w:w="15" w:type="dxa"/>
              <w:bottom w:w="0" w:type="dxa"/>
              <w:right w:w="15" w:type="dxa"/>
            </w:tcMar>
            <w:vAlign w:val="center"/>
          </w:tcPr>
          <w:p w:rsidR="00E475A1" w:rsidRPr="003B4083" w:rsidRDefault="00067BC0" w:rsidP="003B4083">
            <w:pPr>
              <w:spacing w:after="0"/>
              <w:rPr>
                <w:rFonts w:ascii="Verdana" w:hAnsi="Verdana" w:cs="Arial"/>
                <w:bCs/>
                <w:color w:val="183850" w:themeColor="text1"/>
                <w:sz w:val="20"/>
                <w:szCs w:val="20"/>
              </w:rPr>
            </w:pPr>
            <w:r w:rsidRPr="003B4083">
              <w:rPr>
                <w:rFonts w:ascii="Verdana" w:hAnsi="Verdana" w:cs="Arial"/>
                <w:bCs/>
                <w:color w:val="183850" w:themeColor="text1"/>
                <w:sz w:val="20"/>
                <w:szCs w:val="20"/>
              </w:rPr>
              <w:t xml:space="preserve">Shareholder proposals </w:t>
            </w:r>
            <w:r w:rsidRPr="003B4083">
              <w:rPr>
                <w:rFonts w:ascii="Verdana" w:hAnsi="Verdana" w:cs="Arial"/>
                <w:bCs/>
                <w:color w:val="183850" w:themeColor="text1"/>
                <w:sz w:val="20"/>
                <w:szCs w:val="20"/>
              </w:rPr>
              <w:t>supported by LPP I</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tcPr>
          <w:p w:rsidR="00E475A1" w:rsidRPr="003B4083" w:rsidRDefault="00067BC0" w:rsidP="003B4083">
            <w:pPr>
              <w:spacing w:after="0"/>
              <w:jc w:val="center"/>
              <w:rPr>
                <w:rFonts w:ascii="Verdana" w:hAnsi="Verdana" w:cs="Arial"/>
                <w:bCs/>
                <w:color w:val="183850" w:themeColor="text1"/>
                <w:sz w:val="20"/>
                <w:szCs w:val="20"/>
              </w:rPr>
            </w:pPr>
            <w:r w:rsidRPr="003B4083">
              <w:rPr>
                <w:rFonts w:ascii="Verdana" w:hAnsi="Verdana" w:cs="Arial"/>
                <w:bCs/>
                <w:color w:val="183850" w:themeColor="text1"/>
                <w:sz w:val="20"/>
                <w:szCs w:val="20"/>
              </w:rPr>
              <w:t>6</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3B4083" w:rsidRDefault="00067BC0" w:rsidP="003B4083">
            <w:pPr>
              <w:spacing w:after="0"/>
              <w:jc w:val="right"/>
              <w:rPr>
                <w:rFonts w:ascii="Verdana" w:hAnsi="Verdana" w:cs="Arial"/>
                <w:bCs/>
                <w:color w:val="183850" w:themeColor="text1"/>
                <w:sz w:val="20"/>
                <w:szCs w:val="20"/>
              </w:rPr>
            </w:pPr>
            <w:r w:rsidRPr="003B4083">
              <w:rPr>
                <w:rFonts w:ascii="Verdana" w:hAnsi="Verdana" w:cs="Arial"/>
                <w:bCs/>
                <w:color w:val="183850" w:themeColor="text1"/>
                <w:sz w:val="20"/>
                <w:szCs w:val="20"/>
              </w:rPr>
              <w:t>16%</w:t>
            </w:r>
          </w:p>
        </w:tc>
      </w:tr>
    </w:tbl>
    <w:p w:rsidR="009D783C" w:rsidRPr="003B4083" w:rsidRDefault="00067BC0" w:rsidP="003B4083">
      <w:pPr>
        <w:widowControl w:val="0"/>
        <w:spacing w:after="0"/>
        <w:outlineLvl w:val="0"/>
        <w:rPr>
          <w:rFonts w:ascii="Verdana" w:hAnsi="Verdana" w:cs="Arial"/>
          <w:bCs/>
          <w:color w:val="183850" w:themeColor="text1"/>
          <w:sz w:val="20"/>
          <w:szCs w:val="20"/>
        </w:rPr>
      </w:pPr>
    </w:p>
    <w:p w:rsidR="009D783C" w:rsidRPr="003B4083" w:rsidRDefault="00067BC0" w:rsidP="003B4083">
      <w:pPr>
        <w:pStyle w:val="ListParagraph"/>
        <w:spacing w:after="0"/>
        <w:ind w:left="0"/>
        <w:rPr>
          <w:rFonts w:ascii="Verdana" w:hAnsi="Verdana"/>
          <w:color w:val="183850" w:themeColor="text1"/>
          <w:sz w:val="20"/>
          <w:szCs w:val="20"/>
          <w:u w:val="single"/>
        </w:rPr>
      </w:pPr>
    </w:p>
    <w:p w:rsidR="009D783C" w:rsidRPr="003B4083" w:rsidRDefault="00067BC0" w:rsidP="003B4083">
      <w:pPr>
        <w:pStyle w:val="ListParagraph"/>
        <w:spacing w:after="0"/>
        <w:ind w:left="0"/>
        <w:rPr>
          <w:rFonts w:ascii="Verdana" w:hAnsi="Verdana"/>
          <w:color w:val="183850" w:themeColor="text1"/>
          <w:sz w:val="20"/>
          <w:szCs w:val="20"/>
          <w:u w:val="single"/>
        </w:rPr>
      </w:pPr>
    </w:p>
    <w:p w:rsidR="00287D25" w:rsidRPr="003B4083" w:rsidRDefault="00067BC0" w:rsidP="003B4083">
      <w:pPr>
        <w:widowControl w:val="0"/>
        <w:spacing w:after="0"/>
        <w:outlineLvl w:val="0"/>
        <w:rPr>
          <w:rFonts w:ascii="Verdana" w:hAnsi="Verdana" w:cs="Arial"/>
          <w:bCs/>
          <w:color w:val="183850" w:themeColor="text1"/>
          <w:sz w:val="20"/>
          <w:szCs w:val="20"/>
        </w:rPr>
      </w:pPr>
    </w:p>
    <w:p w:rsidR="00287D25" w:rsidRPr="003B4083" w:rsidRDefault="00067BC0" w:rsidP="003B4083">
      <w:pPr>
        <w:widowControl w:val="0"/>
        <w:spacing w:after="0"/>
        <w:outlineLvl w:val="0"/>
        <w:rPr>
          <w:rFonts w:ascii="Verdana" w:hAnsi="Verdana" w:cs="Arial"/>
          <w:bCs/>
          <w:color w:val="183850" w:themeColor="text1"/>
          <w:sz w:val="20"/>
          <w:szCs w:val="20"/>
        </w:rPr>
      </w:pPr>
    </w:p>
    <w:p w:rsidR="009D783C" w:rsidRPr="003B4083" w:rsidRDefault="00067BC0" w:rsidP="003B4083">
      <w:pPr>
        <w:widowControl w:val="0"/>
        <w:spacing w:after="0"/>
        <w:outlineLvl w:val="0"/>
        <w:rPr>
          <w:rFonts w:ascii="Verdana" w:hAnsi="Verdana" w:cs="Arial"/>
          <w:bCs/>
          <w:color w:val="183850" w:themeColor="text1"/>
          <w:sz w:val="20"/>
          <w:szCs w:val="20"/>
        </w:rPr>
      </w:pPr>
    </w:p>
    <w:p w:rsidR="009D783C" w:rsidRPr="003B4083" w:rsidRDefault="00067BC0" w:rsidP="003B4083">
      <w:pPr>
        <w:widowControl w:val="0"/>
        <w:spacing w:after="0"/>
        <w:outlineLvl w:val="0"/>
        <w:rPr>
          <w:rFonts w:ascii="Verdana" w:hAnsi="Verdana" w:cs="Arial"/>
          <w:bCs/>
          <w:color w:val="183850" w:themeColor="text1"/>
          <w:sz w:val="20"/>
          <w:szCs w:val="20"/>
        </w:rPr>
      </w:pPr>
    </w:p>
    <w:p w:rsidR="009D783C" w:rsidRPr="003B4083" w:rsidRDefault="00067BC0" w:rsidP="003B4083">
      <w:pPr>
        <w:widowControl w:val="0"/>
        <w:spacing w:after="0"/>
        <w:outlineLvl w:val="0"/>
        <w:rPr>
          <w:rFonts w:ascii="Verdana" w:hAnsi="Verdana" w:cs="Arial"/>
          <w:bCs/>
          <w:color w:val="183850" w:themeColor="text1"/>
          <w:sz w:val="20"/>
          <w:szCs w:val="20"/>
        </w:rPr>
      </w:pPr>
    </w:p>
    <w:p w:rsidR="00E475A1" w:rsidRPr="003B4083" w:rsidRDefault="00067BC0" w:rsidP="003B4083">
      <w:pPr>
        <w:widowControl w:val="0"/>
        <w:spacing w:after="0"/>
        <w:outlineLvl w:val="0"/>
        <w:rPr>
          <w:rFonts w:ascii="Verdana" w:hAnsi="Verdana" w:cs="Arial"/>
          <w:bCs/>
          <w:color w:val="183850" w:themeColor="text1"/>
          <w:sz w:val="20"/>
          <w:szCs w:val="20"/>
        </w:rPr>
      </w:pPr>
    </w:p>
    <w:tbl>
      <w:tblPr>
        <w:tblW w:w="7508" w:type="dxa"/>
        <w:tblLook w:val="04A0" w:firstRow="1" w:lastRow="0" w:firstColumn="1" w:lastColumn="0" w:noHBand="0" w:noVBand="1"/>
      </w:tblPr>
      <w:tblGrid>
        <w:gridCol w:w="6799"/>
        <w:gridCol w:w="709"/>
      </w:tblGrid>
      <w:tr w:rsidR="003A433B" w:rsidTr="003B4083">
        <w:trPr>
          <w:trHeight w:val="255"/>
        </w:trPr>
        <w:tc>
          <w:tcPr>
            <w:tcW w:w="6799" w:type="dxa"/>
            <w:tcBorders>
              <w:bottom w:val="single" w:sz="4" w:space="0" w:color="auto"/>
            </w:tcBorders>
            <w:shd w:val="clear" w:color="000000" w:fill="FFFFFF"/>
            <w:noWrap/>
          </w:tcPr>
          <w:p w:rsidR="008015F8"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Proposals by Subject Matter</w:t>
            </w:r>
          </w:p>
        </w:tc>
        <w:tc>
          <w:tcPr>
            <w:tcW w:w="709" w:type="dxa"/>
            <w:tcBorders>
              <w:bottom w:val="single" w:sz="4" w:space="0" w:color="auto"/>
            </w:tcBorders>
            <w:shd w:val="clear" w:color="000000" w:fill="FFFFFF"/>
            <w:noWrap/>
          </w:tcPr>
          <w:p w:rsidR="008015F8"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p>
        </w:tc>
      </w:tr>
      <w:tr w:rsidR="003A433B" w:rsidTr="003B4083">
        <w:trPr>
          <w:trHeight w:val="255"/>
        </w:trPr>
        <w:tc>
          <w:tcPr>
            <w:tcW w:w="6799" w:type="dxa"/>
            <w:tcBorders>
              <w:top w:val="single" w:sz="4" w:space="0" w:color="auto"/>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Elect directors / Board members</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230</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 xml:space="preserve">Agree </w:t>
            </w:r>
            <w:r w:rsidRPr="003B4083">
              <w:rPr>
                <w:rFonts w:ascii="Verdana" w:eastAsia="Times New Roman" w:hAnsi="Verdana" w:cs="Arial"/>
                <w:color w:val="183850" w:themeColor="text1"/>
                <w:sz w:val="20"/>
                <w:szCs w:val="20"/>
                <w:lang w:eastAsia="en-GB"/>
              </w:rPr>
              <w:t>management / Board r</w:t>
            </w:r>
            <w:r w:rsidRPr="003B4083">
              <w:rPr>
                <w:rFonts w:ascii="Verdana" w:eastAsia="Times New Roman" w:hAnsi="Verdana" w:cs="Arial"/>
                <w:color w:val="183850" w:themeColor="text1"/>
                <w:sz w:val="20"/>
                <w:szCs w:val="20"/>
                <w:lang w:eastAsia="en-GB"/>
              </w:rPr>
              <w:t>emuneration</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77</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Generic m</w:t>
            </w:r>
            <w:r w:rsidRPr="003B4083">
              <w:rPr>
                <w:rFonts w:ascii="Verdana" w:eastAsia="Times New Roman" w:hAnsi="Verdana" w:cs="Arial"/>
                <w:color w:val="183850" w:themeColor="text1"/>
                <w:sz w:val="20"/>
                <w:szCs w:val="20"/>
                <w:lang w:eastAsia="en-GB"/>
              </w:rPr>
              <w:t>eeting p</w:t>
            </w:r>
            <w:r w:rsidRPr="003B4083">
              <w:rPr>
                <w:rFonts w:ascii="Verdana" w:eastAsia="Times New Roman" w:hAnsi="Verdana" w:cs="Arial"/>
                <w:color w:val="183850" w:themeColor="text1"/>
                <w:sz w:val="20"/>
                <w:szCs w:val="20"/>
                <w:lang w:eastAsia="en-GB"/>
              </w:rPr>
              <w:t>rocedures (open, close, convene, adjourn)</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53</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 xml:space="preserve">Discharge </w:t>
            </w:r>
            <w:r w:rsidRPr="003B4083">
              <w:rPr>
                <w:rFonts w:ascii="Verdana" w:eastAsia="Times New Roman" w:hAnsi="Verdana" w:cs="Arial"/>
                <w:color w:val="183850" w:themeColor="text1"/>
                <w:sz w:val="20"/>
                <w:szCs w:val="20"/>
                <w:lang w:eastAsia="en-GB"/>
              </w:rPr>
              <w:t xml:space="preserve">the </w:t>
            </w:r>
            <w:r w:rsidRPr="003B4083">
              <w:rPr>
                <w:rFonts w:ascii="Verdana" w:eastAsia="Times New Roman" w:hAnsi="Verdana" w:cs="Arial"/>
                <w:color w:val="183850" w:themeColor="text1"/>
                <w:sz w:val="20"/>
                <w:szCs w:val="20"/>
                <w:lang w:eastAsia="en-GB"/>
              </w:rPr>
              <w:t>Board / m</w:t>
            </w:r>
            <w:r w:rsidRPr="003B4083">
              <w:rPr>
                <w:rFonts w:ascii="Verdana" w:eastAsia="Times New Roman" w:hAnsi="Verdana" w:cs="Arial"/>
                <w:color w:val="183850" w:themeColor="text1"/>
                <w:sz w:val="20"/>
                <w:szCs w:val="20"/>
                <w:lang w:eastAsia="en-GB"/>
              </w:rPr>
              <w:t>anagement</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33</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 xml:space="preserve">Proposals </w:t>
            </w:r>
            <w:r w:rsidRPr="003B4083">
              <w:rPr>
                <w:rFonts w:ascii="Verdana" w:eastAsia="Times New Roman" w:hAnsi="Verdana" w:cs="Arial"/>
                <w:color w:val="183850" w:themeColor="text1"/>
                <w:sz w:val="20"/>
                <w:szCs w:val="20"/>
                <w:lang w:eastAsia="en-GB"/>
              </w:rPr>
              <w:t>relating to share capital</w:t>
            </w:r>
            <w:r w:rsidRPr="003B4083">
              <w:rPr>
                <w:rFonts w:ascii="Verdana" w:eastAsia="Times New Roman" w:hAnsi="Verdana" w:cs="Arial"/>
                <w:color w:val="183850" w:themeColor="text1"/>
                <w:sz w:val="20"/>
                <w:szCs w:val="20"/>
                <w:lang w:eastAsia="en-GB"/>
              </w:rPr>
              <w:t xml:space="preserve"> </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29</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Auditors &amp; Auditor remuneration</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28</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Dividends</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15</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 xml:space="preserve">Other </w:t>
            </w:r>
            <w:r w:rsidRPr="003B4083">
              <w:rPr>
                <w:rFonts w:ascii="Verdana" w:eastAsia="Times New Roman" w:hAnsi="Verdana" w:cs="Arial"/>
                <w:color w:val="183850" w:themeColor="text1"/>
                <w:sz w:val="20"/>
                <w:szCs w:val="20"/>
                <w:lang w:eastAsia="en-GB"/>
              </w:rPr>
              <w:t>(</w:t>
            </w:r>
            <w:r w:rsidRPr="003B4083">
              <w:rPr>
                <w:rFonts w:ascii="Verdana" w:eastAsia="Times New Roman" w:hAnsi="Verdana" w:cs="Arial"/>
                <w:color w:val="183850" w:themeColor="text1"/>
                <w:sz w:val="20"/>
                <w:szCs w:val="20"/>
                <w:lang w:eastAsia="en-GB"/>
              </w:rPr>
              <w:t>Misc</w:t>
            </w:r>
            <w:r w:rsidRPr="003B4083">
              <w:rPr>
                <w:rFonts w:ascii="Verdana" w:eastAsia="Times New Roman" w:hAnsi="Verdana" w:cs="Arial"/>
                <w:color w:val="183850" w:themeColor="text1"/>
                <w:sz w:val="20"/>
                <w:szCs w:val="20"/>
                <w:lang w:eastAsia="en-GB"/>
              </w:rPr>
              <w:t>ellaneous)</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12</w:t>
            </w:r>
          </w:p>
        </w:tc>
      </w:tr>
      <w:tr w:rsidR="003A433B" w:rsidTr="008015F8">
        <w:trPr>
          <w:trHeight w:val="255"/>
        </w:trPr>
        <w:tc>
          <w:tcPr>
            <w:tcW w:w="6799" w:type="dxa"/>
            <w:tcBorders>
              <w:top w:val="nil"/>
              <w:left w:val="single" w:sz="4" w:space="0" w:color="auto"/>
              <w:bottom w:val="single" w:sz="4" w:space="0" w:color="auto"/>
              <w:right w:val="single" w:sz="4" w:space="0" w:color="auto"/>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 xml:space="preserve">Financial Statements and other Statutory Reports </w:t>
            </w:r>
          </w:p>
        </w:tc>
        <w:tc>
          <w:tcPr>
            <w:tcW w:w="709" w:type="dxa"/>
            <w:tcBorders>
              <w:top w:val="nil"/>
              <w:left w:val="nil"/>
              <w:bottom w:val="single" w:sz="4" w:space="0" w:color="auto"/>
              <w:right w:val="single" w:sz="4" w:space="0" w:color="auto"/>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11</w:t>
            </w:r>
          </w:p>
        </w:tc>
      </w:tr>
      <w:tr w:rsidR="003A433B" w:rsidTr="008015F8">
        <w:trPr>
          <w:trHeight w:val="255"/>
        </w:trPr>
        <w:tc>
          <w:tcPr>
            <w:tcW w:w="6799" w:type="dxa"/>
            <w:tcBorders>
              <w:top w:val="nil"/>
              <w:left w:val="nil"/>
              <w:bottom w:val="nil"/>
              <w:right w:val="nil"/>
            </w:tcBorders>
            <w:shd w:val="clear" w:color="000000" w:fill="FFFFFF"/>
            <w:noWrap/>
            <w:hideMark/>
          </w:tcPr>
          <w:p w:rsidR="00ED1902" w:rsidRPr="003B4083" w:rsidRDefault="00067BC0" w:rsidP="003B4083">
            <w:pPr>
              <w:spacing w:after="0" w:line="240" w:lineRule="auto"/>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 </w:t>
            </w:r>
          </w:p>
        </w:tc>
        <w:tc>
          <w:tcPr>
            <w:tcW w:w="709" w:type="dxa"/>
            <w:tcBorders>
              <w:top w:val="nil"/>
              <w:left w:val="nil"/>
              <w:bottom w:val="single" w:sz="4" w:space="0" w:color="auto"/>
              <w:right w:val="nil"/>
            </w:tcBorders>
            <w:shd w:val="clear" w:color="000000" w:fill="FFFFFF"/>
            <w:noWrap/>
            <w:hideMark/>
          </w:tcPr>
          <w:p w:rsidR="00ED1902" w:rsidRPr="003B4083" w:rsidRDefault="00067BC0" w:rsidP="003B4083">
            <w:pPr>
              <w:spacing w:after="0" w:line="240" w:lineRule="auto"/>
              <w:jc w:val="center"/>
              <w:rPr>
                <w:rFonts w:ascii="Verdana" w:eastAsia="Times New Roman" w:hAnsi="Verdana" w:cs="Arial"/>
                <w:color w:val="183850" w:themeColor="text1"/>
                <w:sz w:val="20"/>
                <w:szCs w:val="20"/>
                <w:lang w:eastAsia="en-GB"/>
              </w:rPr>
            </w:pPr>
            <w:r w:rsidRPr="003B4083">
              <w:rPr>
                <w:rFonts w:ascii="Verdana" w:eastAsia="Times New Roman" w:hAnsi="Verdana" w:cs="Arial"/>
                <w:color w:val="183850" w:themeColor="text1"/>
                <w:sz w:val="20"/>
                <w:szCs w:val="20"/>
                <w:lang w:eastAsia="en-GB"/>
              </w:rPr>
              <w:t>488</w:t>
            </w:r>
          </w:p>
        </w:tc>
      </w:tr>
    </w:tbl>
    <w:p w:rsidR="00A87509" w:rsidRPr="003B4083" w:rsidRDefault="00067BC0" w:rsidP="003B4083">
      <w:pPr>
        <w:widowControl w:val="0"/>
        <w:spacing w:after="0"/>
        <w:outlineLvl w:val="0"/>
        <w:rPr>
          <w:rFonts w:ascii="Verdana" w:hAnsi="Verdana" w:cs="Arial"/>
          <w:bCs/>
          <w:color w:val="183850" w:themeColor="text1"/>
          <w:sz w:val="20"/>
          <w:szCs w:val="20"/>
        </w:rPr>
      </w:pPr>
    </w:p>
    <w:p w:rsidR="002D0980" w:rsidRPr="003B4083" w:rsidRDefault="00067BC0" w:rsidP="003B4083">
      <w:pPr>
        <w:widowControl w:val="0"/>
        <w:spacing w:after="0"/>
        <w:outlineLvl w:val="0"/>
        <w:rPr>
          <w:rFonts w:ascii="Verdana" w:hAnsi="Verdana"/>
          <w:color w:val="183850" w:themeColor="text1"/>
          <w:sz w:val="20"/>
          <w:szCs w:val="20"/>
        </w:rPr>
      </w:pPr>
      <w:r w:rsidRPr="003B4083">
        <w:rPr>
          <w:rFonts w:ascii="Verdana" w:hAnsi="Verdana" w:cs="Arial"/>
          <w:bCs/>
          <w:color w:val="183850" w:themeColor="text1"/>
          <w:sz w:val="20"/>
          <w:szCs w:val="20"/>
        </w:rPr>
        <w:t xml:space="preserve">LPP I </w:t>
      </w:r>
      <w:r w:rsidRPr="003B4083">
        <w:rPr>
          <w:rFonts w:ascii="Verdana" w:hAnsi="Verdana" w:cs="Arial"/>
          <w:bCs/>
          <w:color w:val="183850" w:themeColor="text1"/>
          <w:sz w:val="20"/>
          <w:szCs w:val="20"/>
        </w:rPr>
        <w:t>support</w:t>
      </w:r>
      <w:r w:rsidRPr="003B4083">
        <w:rPr>
          <w:rFonts w:ascii="Verdana" w:hAnsi="Verdana" w:cs="Arial"/>
          <w:bCs/>
          <w:color w:val="183850" w:themeColor="text1"/>
          <w:sz w:val="20"/>
          <w:szCs w:val="20"/>
        </w:rPr>
        <w:t>ed</w:t>
      </w:r>
      <w:r w:rsidRPr="003B4083">
        <w:rPr>
          <w:rFonts w:ascii="Verdana" w:hAnsi="Verdana" w:cs="Arial"/>
          <w:bCs/>
          <w:color w:val="183850" w:themeColor="text1"/>
          <w:sz w:val="20"/>
          <w:szCs w:val="20"/>
        </w:rPr>
        <w:t xml:space="preserve"> </w:t>
      </w:r>
      <w:r w:rsidRPr="003B4083">
        <w:rPr>
          <w:rFonts w:ascii="Verdana" w:hAnsi="Verdana" w:cs="Arial"/>
          <w:bCs/>
          <w:color w:val="183850" w:themeColor="text1"/>
          <w:sz w:val="20"/>
          <w:szCs w:val="20"/>
        </w:rPr>
        <w:t xml:space="preserve">6 </w:t>
      </w:r>
      <w:r w:rsidRPr="003B4083">
        <w:rPr>
          <w:rFonts w:ascii="Verdana" w:hAnsi="Verdana" w:cs="Arial"/>
          <w:bCs/>
          <w:color w:val="183850" w:themeColor="text1"/>
          <w:sz w:val="20"/>
          <w:szCs w:val="20"/>
        </w:rPr>
        <w:t xml:space="preserve">shareholder resolutions </w:t>
      </w:r>
      <w:r w:rsidRPr="003B4083">
        <w:rPr>
          <w:rFonts w:ascii="Verdana" w:hAnsi="Verdana" w:cs="Arial"/>
          <w:bCs/>
          <w:color w:val="183850" w:themeColor="text1"/>
          <w:sz w:val="20"/>
          <w:szCs w:val="20"/>
        </w:rPr>
        <w:t xml:space="preserve">in Q1. These were resolutions </w:t>
      </w:r>
      <w:r w:rsidRPr="003B4083">
        <w:rPr>
          <w:rFonts w:ascii="Verdana" w:hAnsi="Verdana" w:cs="Arial"/>
          <w:bCs/>
          <w:color w:val="183850" w:themeColor="text1"/>
          <w:sz w:val="20"/>
          <w:szCs w:val="20"/>
        </w:rPr>
        <w:t xml:space="preserve">which </w:t>
      </w:r>
      <w:r w:rsidRPr="003B4083">
        <w:rPr>
          <w:rFonts w:ascii="Verdana" w:hAnsi="Verdana" w:cs="Arial"/>
          <w:bCs/>
          <w:color w:val="183850" w:themeColor="text1"/>
          <w:sz w:val="20"/>
          <w:szCs w:val="20"/>
        </w:rPr>
        <w:t xml:space="preserve">reflected </w:t>
      </w:r>
      <w:r w:rsidRPr="003B4083">
        <w:rPr>
          <w:rFonts w:ascii="Verdana" w:hAnsi="Verdana"/>
          <w:color w:val="183850" w:themeColor="text1"/>
          <w:sz w:val="20"/>
          <w:szCs w:val="20"/>
        </w:rPr>
        <w:t xml:space="preserve">the </w:t>
      </w:r>
      <w:r w:rsidRPr="003B4083">
        <w:rPr>
          <w:rFonts w:ascii="Verdana" w:hAnsi="Verdana"/>
          <w:color w:val="183850" w:themeColor="text1"/>
          <w:sz w:val="20"/>
          <w:szCs w:val="20"/>
        </w:rPr>
        <w:t xml:space="preserve">rights </w:t>
      </w:r>
      <w:r w:rsidRPr="003B4083">
        <w:rPr>
          <w:rFonts w:ascii="Verdana" w:hAnsi="Verdana"/>
          <w:color w:val="183850" w:themeColor="text1"/>
          <w:sz w:val="20"/>
          <w:szCs w:val="20"/>
        </w:rPr>
        <w:t xml:space="preserve">of shareholders </w:t>
      </w:r>
      <w:r w:rsidRPr="003B4083">
        <w:rPr>
          <w:rFonts w:ascii="Verdana" w:hAnsi="Verdana"/>
          <w:color w:val="183850" w:themeColor="text1"/>
          <w:sz w:val="20"/>
          <w:szCs w:val="20"/>
        </w:rPr>
        <w:t>on themes</w:t>
      </w:r>
      <w:r>
        <w:rPr>
          <w:rFonts w:ascii="Verdana" w:hAnsi="Verdana"/>
          <w:color w:val="183850" w:themeColor="text1"/>
          <w:sz w:val="20"/>
          <w:szCs w:val="20"/>
        </w:rPr>
        <w:t xml:space="preserve"> we see regularly at company meetings</w:t>
      </w:r>
      <w:r w:rsidRPr="003B4083">
        <w:rPr>
          <w:rFonts w:ascii="Verdana" w:hAnsi="Verdana"/>
          <w:color w:val="183850" w:themeColor="text1"/>
          <w:sz w:val="20"/>
          <w:szCs w:val="20"/>
        </w:rPr>
        <w:t>:</w:t>
      </w:r>
      <w:r w:rsidRPr="003B4083">
        <w:rPr>
          <w:rFonts w:ascii="Verdana" w:hAnsi="Verdana"/>
          <w:color w:val="183850" w:themeColor="text1"/>
          <w:sz w:val="20"/>
          <w:szCs w:val="20"/>
        </w:rPr>
        <w:t xml:space="preserve"> </w:t>
      </w:r>
    </w:p>
    <w:p w:rsidR="002D0980" w:rsidRPr="003B4083" w:rsidRDefault="00067BC0" w:rsidP="00580884">
      <w:pPr>
        <w:pStyle w:val="ListParagraph"/>
        <w:widowControl w:val="0"/>
        <w:numPr>
          <w:ilvl w:val="0"/>
          <w:numId w:val="11"/>
        </w:numPr>
        <w:tabs>
          <w:tab w:val="left" w:pos="426"/>
        </w:tabs>
        <w:spacing w:after="0"/>
        <w:ind w:left="426" w:hanging="426"/>
        <w:outlineLvl w:val="0"/>
        <w:rPr>
          <w:rFonts w:ascii="Verdana" w:hAnsi="Verdana"/>
          <w:color w:val="183850" w:themeColor="text1"/>
          <w:sz w:val="20"/>
          <w:szCs w:val="20"/>
        </w:rPr>
      </w:pPr>
      <w:r w:rsidRPr="003B4083">
        <w:rPr>
          <w:rFonts w:ascii="Verdana" w:hAnsi="Verdana"/>
          <w:color w:val="183850" w:themeColor="text1"/>
          <w:sz w:val="20"/>
          <w:szCs w:val="20"/>
        </w:rPr>
        <w:t xml:space="preserve">proxy access -  </w:t>
      </w:r>
      <w:r w:rsidRPr="003B4083">
        <w:rPr>
          <w:rFonts w:ascii="Verdana" w:hAnsi="Verdana"/>
          <w:color w:val="183850" w:themeColor="text1"/>
          <w:sz w:val="20"/>
          <w:szCs w:val="20"/>
        </w:rPr>
        <w:t xml:space="preserve">resolutions </w:t>
      </w:r>
      <w:r w:rsidRPr="003B4083">
        <w:rPr>
          <w:rFonts w:ascii="Verdana" w:hAnsi="Verdana"/>
          <w:color w:val="183850" w:themeColor="text1"/>
          <w:sz w:val="20"/>
          <w:szCs w:val="20"/>
        </w:rPr>
        <w:t xml:space="preserve">seeking </w:t>
      </w:r>
      <w:r w:rsidRPr="003B4083">
        <w:rPr>
          <w:rFonts w:ascii="Verdana" w:hAnsi="Verdana" w:cs="Arial"/>
          <w:color w:val="183850" w:themeColor="text1"/>
          <w:sz w:val="20"/>
          <w:szCs w:val="20"/>
          <w:lang w:val="en"/>
        </w:rPr>
        <w:t xml:space="preserve">the ability (through a change in byelaw) for long-term shareowners to place alternative board candidates on the company's proxy card (ballot) </w:t>
      </w:r>
      <w:r w:rsidRPr="003B4083">
        <w:rPr>
          <w:rFonts w:ascii="Verdana" w:hAnsi="Verdana" w:cs="Arial"/>
          <w:color w:val="183850" w:themeColor="text1"/>
          <w:sz w:val="20"/>
          <w:szCs w:val="20"/>
          <w:lang w:val="en"/>
        </w:rPr>
        <w:t xml:space="preserve">in order for them to be voted on at </w:t>
      </w:r>
      <w:r w:rsidRPr="003B4083">
        <w:rPr>
          <w:rFonts w:ascii="Verdana" w:hAnsi="Verdana" w:cs="Arial"/>
          <w:color w:val="183850" w:themeColor="text1"/>
          <w:sz w:val="20"/>
          <w:szCs w:val="20"/>
          <w:lang w:val="en"/>
        </w:rPr>
        <w:t>the company's annual shareowner meeting</w:t>
      </w:r>
      <w:r w:rsidRPr="003B4083">
        <w:rPr>
          <w:rFonts w:ascii="Verdana" w:hAnsi="Verdana" w:cs="Arial"/>
          <w:color w:val="183850" w:themeColor="text1"/>
          <w:sz w:val="20"/>
          <w:szCs w:val="20"/>
          <w:lang w:val="en"/>
        </w:rPr>
        <w:t>;</w:t>
      </w:r>
    </w:p>
    <w:p w:rsidR="002D0980" w:rsidRPr="003B4083" w:rsidRDefault="00067BC0" w:rsidP="00580884">
      <w:pPr>
        <w:pStyle w:val="ListParagraph"/>
        <w:widowControl w:val="0"/>
        <w:numPr>
          <w:ilvl w:val="0"/>
          <w:numId w:val="11"/>
        </w:numPr>
        <w:tabs>
          <w:tab w:val="left" w:pos="426"/>
        </w:tabs>
        <w:spacing w:after="0"/>
        <w:ind w:left="426" w:hanging="426"/>
        <w:outlineLvl w:val="0"/>
        <w:rPr>
          <w:rFonts w:ascii="Verdana" w:hAnsi="Verdana"/>
          <w:color w:val="183850" w:themeColor="text1"/>
          <w:sz w:val="20"/>
          <w:szCs w:val="20"/>
        </w:rPr>
      </w:pPr>
      <w:r w:rsidRPr="003B4083">
        <w:rPr>
          <w:rFonts w:ascii="Verdana" w:hAnsi="Verdana"/>
          <w:color w:val="183850" w:themeColor="text1"/>
          <w:sz w:val="20"/>
          <w:szCs w:val="20"/>
        </w:rPr>
        <w:t xml:space="preserve">lobbying </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 xml:space="preserve">resolutions </w:t>
      </w:r>
      <w:r w:rsidRPr="003B4083">
        <w:rPr>
          <w:rFonts w:ascii="Verdana" w:hAnsi="Verdana"/>
          <w:color w:val="183850" w:themeColor="text1"/>
          <w:sz w:val="20"/>
          <w:szCs w:val="20"/>
        </w:rPr>
        <w:t>request</w:t>
      </w:r>
      <w:r w:rsidRPr="003B4083">
        <w:rPr>
          <w:rFonts w:ascii="Verdana" w:hAnsi="Verdana"/>
          <w:color w:val="183850" w:themeColor="text1"/>
          <w:sz w:val="20"/>
          <w:szCs w:val="20"/>
        </w:rPr>
        <w:t>ing</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a</w:t>
      </w:r>
      <w:r w:rsidRPr="003B4083">
        <w:rPr>
          <w:rFonts w:ascii="Verdana" w:hAnsi="Verdana"/>
          <w:color w:val="183850" w:themeColor="text1"/>
          <w:sz w:val="20"/>
          <w:szCs w:val="20"/>
        </w:rPr>
        <w:t xml:space="preserve"> m</w:t>
      </w:r>
      <w:r w:rsidRPr="003B4083">
        <w:rPr>
          <w:rFonts w:ascii="Verdana" w:hAnsi="Verdana"/>
          <w:color w:val="183850" w:themeColor="text1"/>
          <w:sz w:val="20"/>
          <w:szCs w:val="20"/>
        </w:rPr>
        <w:t>ore complete</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disclose</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of</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 xml:space="preserve">information on lobbying </w:t>
      </w:r>
      <w:r w:rsidRPr="003B4083">
        <w:rPr>
          <w:rFonts w:ascii="Verdana" w:hAnsi="Verdana"/>
          <w:color w:val="183850" w:themeColor="text1"/>
          <w:sz w:val="20"/>
          <w:szCs w:val="20"/>
        </w:rPr>
        <w:t>policy, activities, and payments</w:t>
      </w:r>
      <w:r w:rsidRPr="003B4083">
        <w:rPr>
          <w:rFonts w:ascii="Verdana" w:hAnsi="Verdana"/>
          <w:color w:val="183850" w:themeColor="text1"/>
          <w:sz w:val="20"/>
          <w:szCs w:val="20"/>
        </w:rPr>
        <w:t>.</w:t>
      </w:r>
      <w:r w:rsidRPr="003B4083">
        <w:rPr>
          <w:rFonts w:ascii="Verdana" w:hAnsi="Verdana"/>
          <w:color w:val="183850" w:themeColor="text1"/>
          <w:sz w:val="20"/>
          <w:szCs w:val="20"/>
        </w:rPr>
        <w:t xml:space="preserve"> </w:t>
      </w:r>
    </w:p>
    <w:p w:rsidR="00787991" w:rsidRPr="003B4083" w:rsidRDefault="00067BC0" w:rsidP="003B4083">
      <w:pPr>
        <w:widowControl w:val="0"/>
        <w:spacing w:after="0"/>
        <w:outlineLvl w:val="0"/>
        <w:rPr>
          <w:rFonts w:ascii="Verdana" w:hAnsi="Verdana"/>
          <w:color w:val="183850" w:themeColor="text1"/>
          <w:sz w:val="20"/>
          <w:szCs w:val="20"/>
        </w:rPr>
      </w:pPr>
    </w:p>
    <w:p w:rsidR="00662A63" w:rsidRPr="003B4083" w:rsidRDefault="00067BC0" w:rsidP="003B4083">
      <w:pPr>
        <w:widowControl w:val="0"/>
        <w:spacing w:after="0"/>
        <w:outlineLvl w:val="0"/>
        <w:rPr>
          <w:rFonts w:ascii="Verdana" w:hAnsi="Verdana"/>
          <w:color w:val="183850" w:themeColor="text1"/>
          <w:sz w:val="20"/>
          <w:szCs w:val="20"/>
        </w:rPr>
      </w:pPr>
      <w:r w:rsidRPr="003B4083">
        <w:rPr>
          <w:rFonts w:ascii="Verdana" w:hAnsi="Verdana"/>
          <w:color w:val="183850" w:themeColor="text1"/>
          <w:sz w:val="20"/>
          <w:szCs w:val="20"/>
        </w:rPr>
        <w:t xml:space="preserve">At the </w:t>
      </w:r>
      <w:r w:rsidRPr="003B4083">
        <w:rPr>
          <w:rFonts w:ascii="Verdana" w:hAnsi="Verdana"/>
          <w:color w:val="183850" w:themeColor="text1"/>
          <w:sz w:val="20"/>
          <w:szCs w:val="20"/>
        </w:rPr>
        <w:t xml:space="preserve">AGM of </w:t>
      </w:r>
      <w:r w:rsidRPr="003B4083">
        <w:rPr>
          <w:rFonts w:ascii="Verdana" w:hAnsi="Verdana"/>
          <w:color w:val="183850" w:themeColor="text1"/>
          <w:sz w:val="20"/>
          <w:szCs w:val="20"/>
        </w:rPr>
        <w:t xml:space="preserve">Tyson Foods </w:t>
      </w:r>
      <w:r w:rsidRPr="003B4083">
        <w:rPr>
          <w:rFonts w:ascii="Verdana" w:hAnsi="Verdana"/>
          <w:color w:val="183850" w:themeColor="text1"/>
          <w:sz w:val="20"/>
          <w:szCs w:val="20"/>
        </w:rPr>
        <w:t>(</w:t>
      </w:r>
      <w:r w:rsidRPr="003B4083">
        <w:rPr>
          <w:rStyle w:val="st1"/>
          <w:rFonts w:ascii="Verdana" w:hAnsi="Verdana" w:cs="Arial"/>
          <w:color w:val="183850" w:themeColor="text1"/>
          <w:sz w:val="20"/>
          <w:szCs w:val="20"/>
        </w:rPr>
        <w:t xml:space="preserve">largest American-owned processor and marketer of chicken, beef, and pork) </w:t>
      </w:r>
      <w:r w:rsidRPr="003B4083">
        <w:rPr>
          <w:rFonts w:ascii="Verdana" w:hAnsi="Verdana"/>
          <w:color w:val="183850" w:themeColor="text1"/>
          <w:sz w:val="20"/>
          <w:szCs w:val="20"/>
        </w:rPr>
        <w:t xml:space="preserve">LPP I </w:t>
      </w:r>
      <w:r w:rsidRPr="003B4083">
        <w:rPr>
          <w:rFonts w:ascii="Verdana" w:hAnsi="Verdana"/>
          <w:color w:val="183850" w:themeColor="text1"/>
          <w:sz w:val="20"/>
          <w:szCs w:val="20"/>
        </w:rPr>
        <w:t xml:space="preserve">voted in favour of three shareholder proposals </w:t>
      </w:r>
      <w:r w:rsidRPr="003B4083">
        <w:rPr>
          <w:rFonts w:ascii="Verdana" w:hAnsi="Verdana"/>
          <w:color w:val="183850" w:themeColor="text1"/>
          <w:sz w:val="20"/>
          <w:szCs w:val="20"/>
        </w:rPr>
        <w:t>as follows:</w:t>
      </w:r>
    </w:p>
    <w:p w:rsidR="00662A63" w:rsidRPr="003B4083" w:rsidRDefault="00067BC0" w:rsidP="00580884">
      <w:pPr>
        <w:pStyle w:val="ListParagraph"/>
        <w:numPr>
          <w:ilvl w:val="0"/>
          <w:numId w:val="10"/>
        </w:numPr>
        <w:spacing w:after="0" w:line="240" w:lineRule="auto"/>
        <w:ind w:left="426" w:hanging="426"/>
        <w:rPr>
          <w:rFonts w:ascii="Verdana" w:hAnsi="Verdana"/>
          <w:color w:val="183850" w:themeColor="text1"/>
          <w:sz w:val="20"/>
          <w:szCs w:val="20"/>
          <w:lang w:val="en-US"/>
        </w:rPr>
      </w:pPr>
      <w:r w:rsidRPr="003B4083">
        <w:rPr>
          <w:rFonts w:ascii="Verdana" w:hAnsi="Verdana"/>
          <w:color w:val="183850" w:themeColor="text1"/>
          <w:sz w:val="20"/>
          <w:szCs w:val="20"/>
          <w:lang w:val="en-US"/>
        </w:rPr>
        <w:t xml:space="preserve">the </w:t>
      </w:r>
      <w:r w:rsidRPr="003B4083">
        <w:rPr>
          <w:rFonts w:ascii="Verdana" w:hAnsi="Verdana"/>
          <w:color w:val="183850" w:themeColor="text1"/>
          <w:sz w:val="20"/>
          <w:szCs w:val="20"/>
          <w:lang w:val="en-US"/>
        </w:rPr>
        <w:t>production of a report on the company's lobbying policies, procedur</w:t>
      </w:r>
      <w:r>
        <w:rPr>
          <w:rFonts w:ascii="Verdana" w:hAnsi="Verdana"/>
          <w:color w:val="183850" w:themeColor="text1"/>
          <w:sz w:val="20"/>
          <w:szCs w:val="20"/>
          <w:lang w:val="en-US"/>
        </w:rPr>
        <w:t>es, expenditures, and oversight;</w:t>
      </w:r>
    </w:p>
    <w:p w:rsidR="00662A63" w:rsidRPr="003B4083" w:rsidRDefault="00067BC0" w:rsidP="00580884">
      <w:pPr>
        <w:pStyle w:val="ListParagraph"/>
        <w:numPr>
          <w:ilvl w:val="0"/>
          <w:numId w:val="10"/>
        </w:numPr>
        <w:spacing w:after="0" w:line="240" w:lineRule="auto"/>
        <w:ind w:left="426" w:hanging="426"/>
        <w:rPr>
          <w:rFonts w:ascii="Verdana" w:hAnsi="Verdana"/>
          <w:color w:val="183850" w:themeColor="text1"/>
          <w:sz w:val="20"/>
          <w:szCs w:val="20"/>
          <w:lang w:val="en-US"/>
        </w:rPr>
      </w:pPr>
      <w:r w:rsidRPr="003B4083">
        <w:rPr>
          <w:rFonts w:ascii="Verdana" w:hAnsi="Verdana"/>
          <w:color w:val="183850" w:themeColor="text1"/>
          <w:sz w:val="20"/>
          <w:szCs w:val="20"/>
        </w:rPr>
        <w:lastRenderedPageBreak/>
        <w:t xml:space="preserve">a proposal </w:t>
      </w:r>
      <w:r w:rsidRPr="003B4083">
        <w:rPr>
          <w:rFonts w:ascii="Verdana" w:hAnsi="Verdana"/>
          <w:color w:val="183850" w:themeColor="text1"/>
          <w:sz w:val="20"/>
          <w:szCs w:val="20"/>
          <w:lang w:val="en-US"/>
        </w:rPr>
        <w:t>to adopt a "proxy access" bylaw requiring Tyson to allow shareholders to nominate persons for election to the Board</w:t>
      </w:r>
      <w:r>
        <w:rPr>
          <w:rFonts w:ascii="Verdana" w:hAnsi="Verdana"/>
          <w:color w:val="183850" w:themeColor="text1"/>
          <w:sz w:val="20"/>
          <w:szCs w:val="20"/>
          <w:lang w:val="en-US"/>
        </w:rPr>
        <w:t>;</w:t>
      </w:r>
    </w:p>
    <w:p w:rsidR="00D91058" w:rsidRDefault="00067BC0" w:rsidP="00580884">
      <w:pPr>
        <w:pStyle w:val="ListParagraph"/>
        <w:widowControl w:val="0"/>
        <w:numPr>
          <w:ilvl w:val="0"/>
          <w:numId w:val="10"/>
        </w:numPr>
        <w:spacing w:after="0" w:line="240" w:lineRule="auto"/>
        <w:ind w:left="426" w:hanging="426"/>
        <w:outlineLvl w:val="0"/>
        <w:rPr>
          <w:rFonts w:ascii="Verdana" w:hAnsi="Verdana"/>
          <w:color w:val="183850" w:themeColor="text1"/>
          <w:sz w:val="20"/>
          <w:szCs w:val="20"/>
        </w:rPr>
      </w:pPr>
      <w:r w:rsidRPr="003B4083">
        <w:rPr>
          <w:rFonts w:ascii="Verdana" w:hAnsi="Verdana"/>
          <w:color w:val="183850" w:themeColor="text1"/>
          <w:sz w:val="20"/>
          <w:szCs w:val="20"/>
        </w:rPr>
        <w:t xml:space="preserve">a proposal to </w:t>
      </w:r>
      <w:r w:rsidRPr="003B4083">
        <w:rPr>
          <w:rFonts w:ascii="Verdana" w:hAnsi="Verdana"/>
          <w:color w:val="183850" w:themeColor="text1"/>
          <w:sz w:val="20"/>
          <w:szCs w:val="20"/>
          <w:lang w:val="en-US"/>
        </w:rPr>
        <w:t xml:space="preserve">adopt and implement a water stewardship policy designed to reduce risks of water contamination at Tyson-owned facilities, </w:t>
      </w:r>
      <w:r w:rsidRPr="003B4083">
        <w:rPr>
          <w:rFonts w:ascii="Verdana" w:hAnsi="Verdana"/>
          <w:color w:val="183850" w:themeColor="text1"/>
          <w:sz w:val="20"/>
          <w:szCs w:val="20"/>
          <w:lang w:val="en-US"/>
        </w:rPr>
        <w:t xml:space="preserve">its suppliers, and </w:t>
      </w:r>
      <w:r w:rsidRPr="003B4083">
        <w:rPr>
          <w:rFonts w:ascii="Verdana" w:hAnsi="Verdana"/>
          <w:color w:val="183850" w:themeColor="text1"/>
          <w:sz w:val="20"/>
          <w:szCs w:val="20"/>
          <w:lang w:val="en-US"/>
        </w:rPr>
        <w:t>facilities under contract to Tyson.</w:t>
      </w:r>
      <w:r w:rsidRPr="003B4083">
        <w:rPr>
          <w:rFonts w:ascii="Verdana" w:hAnsi="Verdana"/>
          <w:color w:val="183850" w:themeColor="text1"/>
          <w:sz w:val="20"/>
          <w:szCs w:val="20"/>
        </w:rPr>
        <w:t xml:space="preserve">  </w:t>
      </w:r>
    </w:p>
    <w:p w:rsidR="008A3A02" w:rsidRPr="0044001A" w:rsidRDefault="00067BC0" w:rsidP="0044001A">
      <w:pPr>
        <w:widowControl w:val="0"/>
        <w:spacing w:after="0" w:line="240" w:lineRule="auto"/>
        <w:ind w:left="1069"/>
        <w:outlineLvl w:val="0"/>
        <w:rPr>
          <w:rFonts w:ascii="Verdana" w:hAnsi="Verdana"/>
          <w:color w:val="183850" w:themeColor="text1"/>
          <w:sz w:val="20"/>
          <w:szCs w:val="20"/>
        </w:rPr>
      </w:pPr>
    </w:p>
    <w:p w:rsidR="0097145A" w:rsidRPr="003B4083" w:rsidRDefault="00067BC0" w:rsidP="00580884">
      <w:pPr>
        <w:widowControl w:val="0"/>
        <w:spacing w:after="0" w:line="240" w:lineRule="auto"/>
        <w:outlineLvl w:val="0"/>
        <w:rPr>
          <w:rFonts w:ascii="Verdana" w:hAnsi="Verdana"/>
          <w:color w:val="183850" w:themeColor="text1"/>
          <w:sz w:val="20"/>
          <w:szCs w:val="20"/>
        </w:rPr>
      </w:pPr>
      <w:r w:rsidRPr="003B4083">
        <w:rPr>
          <w:rFonts w:ascii="Verdana" w:hAnsi="Verdana"/>
          <w:color w:val="183850" w:themeColor="text1"/>
          <w:sz w:val="20"/>
          <w:szCs w:val="20"/>
        </w:rPr>
        <w:t>Th</w:t>
      </w:r>
      <w:r w:rsidRPr="003B4083">
        <w:rPr>
          <w:rFonts w:ascii="Verdana" w:hAnsi="Verdana"/>
          <w:color w:val="183850" w:themeColor="text1"/>
          <w:sz w:val="20"/>
          <w:szCs w:val="20"/>
        </w:rPr>
        <w:t>e</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third</w:t>
      </w:r>
      <w:r w:rsidRPr="003B4083">
        <w:rPr>
          <w:rFonts w:ascii="Verdana" w:hAnsi="Verdana"/>
          <w:color w:val="183850" w:themeColor="text1"/>
          <w:sz w:val="20"/>
          <w:szCs w:val="20"/>
        </w:rPr>
        <w:t xml:space="preserve"> </w:t>
      </w:r>
      <w:r w:rsidRPr="003B4083">
        <w:rPr>
          <w:rFonts w:ascii="Verdana" w:hAnsi="Verdana"/>
          <w:color w:val="183850" w:themeColor="text1"/>
          <w:sz w:val="20"/>
          <w:szCs w:val="20"/>
        </w:rPr>
        <w:t xml:space="preserve">proposal addressed </w:t>
      </w:r>
      <w:r w:rsidRPr="003B4083">
        <w:rPr>
          <w:rFonts w:ascii="Verdana" w:hAnsi="Verdana"/>
          <w:color w:val="183850" w:themeColor="text1"/>
          <w:sz w:val="20"/>
          <w:szCs w:val="20"/>
          <w:lang w:val="en-US"/>
        </w:rPr>
        <w:t xml:space="preserve">exposure to environmental, reputational, and financial risks associated with water pollution from animal feed and byproducts and reflected that the company currently does not  disclose specific policies, initiatives, or management oversight mechanisms the </w:t>
      </w:r>
      <w:r w:rsidRPr="003B4083">
        <w:rPr>
          <w:rFonts w:ascii="Verdana" w:hAnsi="Verdana"/>
          <w:color w:val="183850" w:themeColor="text1"/>
          <w:sz w:val="20"/>
          <w:szCs w:val="20"/>
          <w:lang w:val="en-US"/>
        </w:rPr>
        <w:t xml:space="preserve">company has implemented to address effluent discharges and runoff from company-owned facilities, contract farmers, and suppliers. </w:t>
      </w:r>
    </w:p>
    <w:p w:rsidR="00D91058" w:rsidRPr="003B4083" w:rsidRDefault="00067BC0" w:rsidP="00580884">
      <w:pPr>
        <w:widowControl w:val="0"/>
        <w:spacing w:after="0"/>
        <w:outlineLvl w:val="0"/>
        <w:rPr>
          <w:rFonts w:ascii="Verdana" w:hAnsi="Verdana"/>
          <w:bCs/>
          <w:color w:val="183850" w:themeColor="text1"/>
          <w:sz w:val="20"/>
          <w:szCs w:val="20"/>
        </w:rPr>
      </w:pPr>
    </w:p>
    <w:p w:rsidR="007200A7" w:rsidRPr="003B4083" w:rsidRDefault="00067BC0" w:rsidP="003B4083">
      <w:pPr>
        <w:widowControl w:val="0"/>
        <w:spacing w:after="0"/>
        <w:outlineLvl w:val="0"/>
        <w:rPr>
          <w:rFonts w:ascii="Verdana" w:hAnsi="Verdana"/>
          <w:bCs/>
          <w:color w:val="183850" w:themeColor="text1"/>
          <w:sz w:val="20"/>
          <w:szCs w:val="20"/>
        </w:rPr>
      </w:pPr>
      <w:r w:rsidRPr="003B4083">
        <w:rPr>
          <w:rFonts w:ascii="Verdana" w:hAnsi="Verdana"/>
          <w:bCs/>
          <w:color w:val="183850" w:themeColor="text1"/>
          <w:sz w:val="20"/>
          <w:szCs w:val="20"/>
        </w:rPr>
        <w:t xml:space="preserve">A </w:t>
      </w:r>
      <w:r w:rsidRPr="003B4083">
        <w:rPr>
          <w:rFonts w:ascii="Verdana" w:hAnsi="Verdana"/>
          <w:bCs/>
          <w:color w:val="183850" w:themeColor="text1"/>
          <w:sz w:val="20"/>
          <w:szCs w:val="20"/>
        </w:rPr>
        <w:t xml:space="preserve">detailed </w:t>
      </w:r>
      <w:r w:rsidRPr="003B4083">
        <w:rPr>
          <w:rFonts w:ascii="Verdana" w:hAnsi="Verdana"/>
          <w:bCs/>
          <w:color w:val="183850" w:themeColor="text1"/>
          <w:sz w:val="20"/>
          <w:szCs w:val="20"/>
        </w:rPr>
        <w:t xml:space="preserve">report </w:t>
      </w:r>
      <w:r w:rsidRPr="003B4083">
        <w:rPr>
          <w:rFonts w:ascii="Verdana" w:hAnsi="Verdana"/>
          <w:bCs/>
          <w:color w:val="183850" w:themeColor="text1"/>
          <w:sz w:val="20"/>
          <w:szCs w:val="20"/>
        </w:rPr>
        <w:t>on</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Q1</w:t>
      </w:r>
      <w:r w:rsidRPr="003B4083">
        <w:rPr>
          <w:rFonts w:ascii="Verdana" w:hAnsi="Verdana"/>
          <w:bCs/>
          <w:color w:val="183850" w:themeColor="text1"/>
          <w:sz w:val="20"/>
          <w:szCs w:val="20"/>
        </w:rPr>
        <w:t xml:space="preserve">voting </w:t>
      </w:r>
      <w:r w:rsidRPr="003B4083">
        <w:rPr>
          <w:rFonts w:ascii="Verdana" w:hAnsi="Verdana"/>
          <w:bCs/>
          <w:color w:val="183850" w:themeColor="text1"/>
          <w:sz w:val="20"/>
          <w:szCs w:val="20"/>
        </w:rPr>
        <w:t>activity</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for the GEF</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has been placed within the Members Reading R</w:t>
      </w:r>
      <w:r w:rsidRPr="003B4083">
        <w:rPr>
          <w:rFonts w:ascii="Verdana" w:hAnsi="Verdana"/>
          <w:bCs/>
          <w:color w:val="183850" w:themeColor="text1"/>
          <w:sz w:val="20"/>
          <w:szCs w:val="20"/>
        </w:rPr>
        <w:t xml:space="preserve">oom for reference. </w:t>
      </w:r>
    </w:p>
    <w:p w:rsidR="00074F33" w:rsidRPr="003B4083" w:rsidRDefault="00067BC0" w:rsidP="003B4083">
      <w:pPr>
        <w:widowControl w:val="0"/>
        <w:spacing w:after="0"/>
        <w:outlineLvl w:val="0"/>
        <w:rPr>
          <w:rFonts w:ascii="Verdana" w:hAnsi="Verdana"/>
          <w:bCs/>
          <w:color w:val="183850" w:themeColor="text1"/>
          <w:sz w:val="20"/>
          <w:szCs w:val="20"/>
        </w:rPr>
      </w:pPr>
    </w:p>
    <w:p w:rsidR="00343C9E" w:rsidRPr="003B4083" w:rsidRDefault="00067BC0" w:rsidP="003B4083">
      <w:pPr>
        <w:widowControl w:val="0"/>
        <w:spacing w:after="0"/>
        <w:outlineLvl w:val="0"/>
        <w:rPr>
          <w:rFonts w:ascii="Verdana" w:hAnsi="Verdana"/>
          <w:bCs/>
          <w:color w:val="183850" w:themeColor="text1"/>
          <w:sz w:val="20"/>
          <w:szCs w:val="20"/>
        </w:rPr>
      </w:pPr>
      <w:r w:rsidRPr="003B4083">
        <w:rPr>
          <w:rFonts w:ascii="Verdana" w:hAnsi="Verdana"/>
          <w:bCs/>
          <w:color w:val="183850" w:themeColor="text1"/>
          <w:sz w:val="20"/>
          <w:szCs w:val="20"/>
        </w:rPr>
        <w:t xml:space="preserve">In due course </w:t>
      </w:r>
      <w:r w:rsidRPr="003B4083">
        <w:rPr>
          <w:rFonts w:ascii="Verdana" w:hAnsi="Verdana"/>
          <w:bCs/>
          <w:color w:val="183850" w:themeColor="text1"/>
          <w:sz w:val="20"/>
          <w:szCs w:val="20"/>
        </w:rPr>
        <w:t xml:space="preserve">LPP </w:t>
      </w:r>
      <w:r w:rsidRPr="003B4083">
        <w:rPr>
          <w:rFonts w:ascii="Verdana" w:hAnsi="Verdana"/>
          <w:bCs/>
          <w:color w:val="183850" w:themeColor="text1"/>
          <w:sz w:val="20"/>
          <w:szCs w:val="20"/>
        </w:rPr>
        <w:t xml:space="preserve">will </w:t>
      </w:r>
      <w:r w:rsidRPr="003B4083">
        <w:rPr>
          <w:rFonts w:ascii="Verdana" w:hAnsi="Verdana"/>
          <w:bCs/>
          <w:color w:val="183850" w:themeColor="text1"/>
          <w:sz w:val="20"/>
          <w:szCs w:val="20"/>
        </w:rPr>
        <w:t>begin</w:t>
      </w:r>
      <w:r w:rsidRPr="003B4083">
        <w:rPr>
          <w:rFonts w:ascii="Verdana" w:hAnsi="Verdana"/>
          <w:bCs/>
          <w:color w:val="183850" w:themeColor="text1"/>
          <w:sz w:val="20"/>
          <w:szCs w:val="20"/>
        </w:rPr>
        <w:t xml:space="preserve"> to</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 xml:space="preserve">publish voting </w:t>
      </w:r>
      <w:r w:rsidRPr="003B4083">
        <w:rPr>
          <w:rFonts w:ascii="Verdana" w:hAnsi="Verdana"/>
          <w:bCs/>
          <w:color w:val="183850" w:themeColor="text1"/>
          <w:sz w:val="20"/>
          <w:szCs w:val="20"/>
        </w:rPr>
        <w:t>information</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 xml:space="preserve">for the GEF </w:t>
      </w:r>
      <w:r w:rsidRPr="003B4083">
        <w:rPr>
          <w:rFonts w:ascii="Verdana" w:hAnsi="Verdana"/>
          <w:bCs/>
          <w:color w:val="183850" w:themeColor="text1"/>
          <w:sz w:val="20"/>
          <w:szCs w:val="20"/>
        </w:rPr>
        <w:t>on</w:t>
      </w:r>
      <w:r w:rsidRPr="003B4083">
        <w:rPr>
          <w:rFonts w:ascii="Verdana" w:hAnsi="Verdana"/>
          <w:bCs/>
          <w:color w:val="183850" w:themeColor="text1"/>
          <w:sz w:val="20"/>
          <w:szCs w:val="20"/>
        </w:rPr>
        <w:t xml:space="preserve"> its website</w:t>
      </w:r>
      <w:r w:rsidRPr="003B4083">
        <w:rPr>
          <w:rFonts w:ascii="Verdana" w:hAnsi="Verdana"/>
          <w:bCs/>
          <w:color w:val="183850" w:themeColor="text1"/>
          <w:sz w:val="20"/>
          <w:szCs w:val="20"/>
        </w:rPr>
        <w:t>. This reflects LPP's commitment to transparency under the principles of the UK Stewardship Code and</w:t>
      </w:r>
      <w:r w:rsidRPr="003B4083">
        <w:rPr>
          <w:rFonts w:ascii="Verdana" w:hAnsi="Verdana"/>
          <w:bCs/>
          <w:color w:val="183850" w:themeColor="text1"/>
          <w:sz w:val="20"/>
          <w:szCs w:val="20"/>
        </w:rPr>
        <w:t xml:space="preserve"> is a move which </w:t>
      </w:r>
      <w:r w:rsidRPr="003B4083">
        <w:rPr>
          <w:rFonts w:ascii="Verdana" w:hAnsi="Verdana"/>
          <w:bCs/>
          <w:color w:val="183850" w:themeColor="text1"/>
          <w:sz w:val="20"/>
          <w:szCs w:val="20"/>
        </w:rPr>
        <w:t xml:space="preserve">will </w:t>
      </w:r>
      <w:r w:rsidRPr="003B4083">
        <w:rPr>
          <w:rFonts w:ascii="Verdana" w:hAnsi="Verdana"/>
          <w:bCs/>
          <w:color w:val="183850" w:themeColor="text1"/>
          <w:sz w:val="20"/>
          <w:szCs w:val="20"/>
        </w:rPr>
        <w:t>enable client funds and</w:t>
      </w:r>
      <w:r w:rsidRPr="003B4083">
        <w:rPr>
          <w:rFonts w:ascii="Verdana" w:hAnsi="Verdana"/>
          <w:bCs/>
          <w:color w:val="183850" w:themeColor="text1"/>
          <w:sz w:val="20"/>
          <w:szCs w:val="20"/>
        </w:rPr>
        <w:t xml:space="preserve"> m</w:t>
      </w:r>
      <w:r w:rsidRPr="003B4083">
        <w:rPr>
          <w:rFonts w:ascii="Verdana" w:hAnsi="Verdana"/>
          <w:bCs/>
          <w:color w:val="183850" w:themeColor="text1"/>
          <w:sz w:val="20"/>
          <w:szCs w:val="20"/>
        </w:rPr>
        <w:t xml:space="preserve">embers of the </w:t>
      </w:r>
      <w:r w:rsidRPr="003B4083">
        <w:rPr>
          <w:rFonts w:ascii="Verdana" w:hAnsi="Verdana"/>
          <w:bCs/>
          <w:color w:val="183850" w:themeColor="text1"/>
          <w:sz w:val="20"/>
          <w:szCs w:val="20"/>
        </w:rPr>
        <w:t xml:space="preserve">public </w:t>
      </w:r>
      <w:r w:rsidRPr="003B4083">
        <w:rPr>
          <w:rFonts w:ascii="Verdana" w:hAnsi="Verdana"/>
          <w:bCs/>
          <w:color w:val="183850" w:themeColor="text1"/>
          <w:sz w:val="20"/>
          <w:szCs w:val="20"/>
        </w:rPr>
        <w:t xml:space="preserve">to </w:t>
      </w:r>
      <w:r w:rsidRPr="003B4083">
        <w:rPr>
          <w:rFonts w:ascii="Verdana" w:hAnsi="Verdana"/>
          <w:bCs/>
          <w:color w:val="183850" w:themeColor="text1"/>
          <w:sz w:val="20"/>
          <w:szCs w:val="20"/>
        </w:rPr>
        <w:t xml:space="preserve">begin </w:t>
      </w:r>
      <w:r w:rsidRPr="003B4083">
        <w:rPr>
          <w:rFonts w:ascii="Verdana" w:hAnsi="Verdana"/>
          <w:bCs/>
          <w:color w:val="183850" w:themeColor="text1"/>
          <w:sz w:val="20"/>
          <w:szCs w:val="20"/>
        </w:rPr>
        <w:t>access</w:t>
      </w:r>
      <w:r w:rsidRPr="003B4083">
        <w:rPr>
          <w:rFonts w:ascii="Verdana" w:hAnsi="Verdana"/>
          <w:bCs/>
          <w:color w:val="183850" w:themeColor="text1"/>
          <w:sz w:val="20"/>
          <w:szCs w:val="20"/>
        </w:rPr>
        <w:t>ing</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summary</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voting reports</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 xml:space="preserve">retrospectively </w:t>
      </w:r>
      <w:r w:rsidRPr="003B4083">
        <w:rPr>
          <w:rFonts w:ascii="Verdana" w:hAnsi="Verdana"/>
          <w:bCs/>
          <w:color w:val="183850" w:themeColor="text1"/>
          <w:sz w:val="20"/>
          <w:szCs w:val="20"/>
        </w:rPr>
        <w:t>online.</w:t>
      </w:r>
      <w:r w:rsidRPr="003B4083">
        <w:rPr>
          <w:rFonts w:ascii="Verdana" w:hAnsi="Verdana"/>
          <w:bCs/>
          <w:color w:val="183850" w:themeColor="text1"/>
          <w:sz w:val="20"/>
          <w:szCs w:val="20"/>
        </w:rPr>
        <w:t xml:space="preserve">  </w:t>
      </w:r>
    </w:p>
    <w:p w:rsidR="00626882" w:rsidRPr="00F23661" w:rsidRDefault="00067BC0" w:rsidP="003B4083">
      <w:pPr>
        <w:pStyle w:val="treb"/>
        <w:numPr>
          <w:ilvl w:val="0"/>
          <w:numId w:val="0"/>
        </w:numPr>
        <w:spacing w:after="0"/>
        <w:rPr>
          <w:rFonts w:ascii="Verdana" w:hAnsi="Verdana"/>
          <w:color w:val="54BBAB" w:themeColor="text2"/>
          <w:sz w:val="20"/>
          <w:szCs w:val="20"/>
        </w:rPr>
      </w:pPr>
    </w:p>
    <w:p w:rsidR="00197BA3" w:rsidRPr="00F23661" w:rsidRDefault="00067BC0" w:rsidP="008E62D7">
      <w:pPr>
        <w:pStyle w:val="treb"/>
        <w:numPr>
          <w:ilvl w:val="0"/>
          <w:numId w:val="5"/>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067BC0"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3B4083" w:rsidRDefault="00067BC0" w:rsidP="003B4083">
      <w:pPr>
        <w:spacing w:after="0"/>
        <w:rPr>
          <w:rFonts w:ascii="Verdana" w:hAnsi="Verdana"/>
          <w:bCs/>
          <w:color w:val="183850" w:themeColor="text1"/>
          <w:sz w:val="20"/>
          <w:szCs w:val="20"/>
        </w:rPr>
      </w:pPr>
      <w:r w:rsidRPr="003B4083">
        <w:rPr>
          <w:rFonts w:ascii="Verdana" w:hAnsi="Verdana"/>
          <w:bCs/>
          <w:color w:val="183850" w:themeColor="text1"/>
          <w:sz w:val="20"/>
          <w:szCs w:val="20"/>
        </w:rPr>
        <w:t xml:space="preserve">As a responsible asset manager </w:t>
      </w:r>
      <w:r w:rsidRPr="003B4083">
        <w:rPr>
          <w:rFonts w:ascii="Verdana" w:hAnsi="Verdana"/>
          <w:bCs/>
          <w:color w:val="183850" w:themeColor="text1"/>
          <w:sz w:val="20"/>
          <w:szCs w:val="20"/>
        </w:rPr>
        <w:t xml:space="preserve">LPP I </w:t>
      </w:r>
      <w:r w:rsidRPr="003B4083">
        <w:rPr>
          <w:rFonts w:ascii="Verdana" w:hAnsi="Verdana"/>
          <w:bCs/>
          <w:color w:val="183850" w:themeColor="text1"/>
          <w:sz w:val="20"/>
          <w:szCs w:val="20"/>
        </w:rPr>
        <w:t xml:space="preserve">regularly </w:t>
      </w:r>
      <w:r w:rsidRPr="003B4083">
        <w:rPr>
          <w:rFonts w:ascii="Verdana" w:hAnsi="Verdana"/>
          <w:bCs/>
          <w:color w:val="183850" w:themeColor="text1"/>
          <w:sz w:val="20"/>
          <w:szCs w:val="20"/>
        </w:rPr>
        <w:t xml:space="preserve">participates </w:t>
      </w:r>
      <w:r w:rsidRPr="003B4083">
        <w:rPr>
          <w:rFonts w:ascii="Verdana" w:hAnsi="Verdana"/>
          <w:bCs/>
          <w:color w:val="183850" w:themeColor="text1"/>
          <w:sz w:val="20"/>
          <w:szCs w:val="20"/>
        </w:rPr>
        <w:t xml:space="preserve">in collaborations </w:t>
      </w:r>
      <w:r w:rsidRPr="003B4083">
        <w:rPr>
          <w:rFonts w:ascii="Verdana" w:hAnsi="Verdana"/>
          <w:bCs/>
          <w:color w:val="183850" w:themeColor="text1"/>
          <w:sz w:val="20"/>
          <w:szCs w:val="20"/>
        </w:rPr>
        <w:t xml:space="preserve">which </w:t>
      </w:r>
      <w:r w:rsidRPr="003B4083">
        <w:rPr>
          <w:rFonts w:ascii="Verdana" w:hAnsi="Verdana"/>
          <w:bCs/>
          <w:color w:val="183850" w:themeColor="text1"/>
          <w:sz w:val="20"/>
          <w:szCs w:val="20"/>
        </w:rPr>
        <w:t xml:space="preserve">represent the </w:t>
      </w:r>
      <w:r w:rsidRPr="003B4083">
        <w:rPr>
          <w:rFonts w:ascii="Verdana" w:hAnsi="Verdana"/>
          <w:bCs/>
          <w:color w:val="183850" w:themeColor="text1"/>
          <w:sz w:val="20"/>
          <w:szCs w:val="20"/>
        </w:rPr>
        <w:t xml:space="preserve">collective </w:t>
      </w:r>
      <w:r w:rsidRPr="003B4083">
        <w:rPr>
          <w:rFonts w:ascii="Verdana" w:hAnsi="Verdana"/>
          <w:bCs/>
          <w:color w:val="183850" w:themeColor="text1"/>
          <w:sz w:val="20"/>
          <w:szCs w:val="20"/>
        </w:rPr>
        <w:t xml:space="preserve">interests of institutional investors </w:t>
      </w:r>
      <w:r w:rsidRPr="003B4083">
        <w:rPr>
          <w:rFonts w:ascii="Verdana" w:hAnsi="Verdana"/>
          <w:bCs/>
          <w:color w:val="183850" w:themeColor="text1"/>
          <w:sz w:val="20"/>
          <w:szCs w:val="20"/>
        </w:rPr>
        <w:t xml:space="preserve">and </w:t>
      </w:r>
      <w:r w:rsidRPr="003B4083">
        <w:rPr>
          <w:rFonts w:ascii="Verdana" w:hAnsi="Verdana"/>
          <w:bCs/>
          <w:color w:val="183850" w:themeColor="text1"/>
          <w:sz w:val="20"/>
          <w:szCs w:val="20"/>
        </w:rPr>
        <w:t xml:space="preserve">seek to </w:t>
      </w:r>
      <w:r w:rsidRPr="003B4083">
        <w:rPr>
          <w:rFonts w:ascii="Verdana" w:hAnsi="Verdana"/>
          <w:bCs/>
          <w:color w:val="183850" w:themeColor="text1"/>
          <w:sz w:val="20"/>
          <w:szCs w:val="20"/>
        </w:rPr>
        <w:t xml:space="preserve">make progress on issues which impact shareholder value. </w:t>
      </w:r>
      <w:r w:rsidRPr="003B4083">
        <w:rPr>
          <w:rFonts w:ascii="Verdana" w:hAnsi="Verdana"/>
          <w:bCs/>
          <w:color w:val="183850" w:themeColor="text1"/>
          <w:sz w:val="20"/>
          <w:szCs w:val="20"/>
        </w:rPr>
        <w:t xml:space="preserve">Key </w:t>
      </w:r>
      <w:r w:rsidRPr="003B4083">
        <w:rPr>
          <w:rFonts w:ascii="Verdana" w:hAnsi="Verdana"/>
          <w:bCs/>
          <w:color w:val="183850" w:themeColor="text1"/>
          <w:sz w:val="20"/>
          <w:szCs w:val="20"/>
        </w:rPr>
        <w:t>partner</w:t>
      </w:r>
      <w:r w:rsidRPr="003B4083">
        <w:rPr>
          <w:rFonts w:ascii="Verdana" w:hAnsi="Verdana"/>
          <w:bCs/>
          <w:color w:val="183850" w:themeColor="text1"/>
          <w:sz w:val="20"/>
          <w:szCs w:val="20"/>
        </w:rPr>
        <w:t>s include the Local Authority Pensions Fund Forum (LAPFF) the Pensions and Lifetime Savings Association (PLSA) the Principles of Responsible Investment (PRI) and the Institutional I</w:t>
      </w:r>
      <w:r w:rsidRPr="003B4083">
        <w:rPr>
          <w:rFonts w:ascii="Verdana" w:hAnsi="Verdana"/>
          <w:bCs/>
          <w:color w:val="183850" w:themeColor="text1"/>
          <w:sz w:val="20"/>
          <w:szCs w:val="20"/>
        </w:rPr>
        <w:t>nvestor Group on Climate Change (IIGCC)</w:t>
      </w:r>
      <w:r w:rsidRPr="003B4083">
        <w:rPr>
          <w:rFonts w:ascii="Verdana" w:hAnsi="Verdana"/>
          <w:bCs/>
          <w:color w:val="183850" w:themeColor="text1"/>
          <w:sz w:val="20"/>
          <w:szCs w:val="20"/>
        </w:rPr>
        <w:t>.</w:t>
      </w:r>
    </w:p>
    <w:p w:rsidR="00626882" w:rsidRPr="003B4083" w:rsidRDefault="00067BC0" w:rsidP="003B4083">
      <w:pPr>
        <w:spacing w:after="0"/>
        <w:rPr>
          <w:rFonts w:ascii="Verdana" w:hAnsi="Verdana"/>
          <w:bCs/>
          <w:color w:val="183850" w:themeColor="text1"/>
          <w:sz w:val="20"/>
          <w:szCs w:val="20"/>
        </w:rPr>
      </w:pPr>
    </w:p>
    <w:p w:rsidR="00705972" w:rsidRPr="003B4083" w:rsidRDefault="00067BC0" w:rsidP="003B4083">
      <w:pPr>
        <w:spacing w:after="0"/>
        <w:rPr>
          <w:rFonts w:ascii="Verdana" w:hAnsi="Verdana"/>
          <w:b/>
          <w:bCs/>
          <w:color w:val="183850" w:themeColor="text1"/>
          <w:sz w:val="20"/>
          <w:szCs w:val="20"/>
        </w:rPr>
      </w:pPr>
      <w:r w:rsidRPr="003B4083">
        <w:rPr>
          <w:rFonts w:ascii="Verdana" w:hAnsi="Verdana"/>
          <w:b/>
          <w:bCs/>
          <w:color w:val="183850" w:themeColor="text1"/>
          <w:sz w:val="20"/>
          <w:szCs w:val="20"/>
        </w:rPr>
        <w:t>LAPFF</w:t>
      </w:r>
    </w:p>
    <w:p w:rsidR="006934F8" w:rsidRPr="003B4083" w:rsidRDefault="00067BC0" w:rsidP="0044001A">
      <w:pPr>
        <w:pStyle w:val="ListParagraph"/>
        <w:spacing w:after="0"/>
        <w:ind w:left="0"/>
        <w:jc w:val="both"/>
        <w:rPr>
          <w:rFonts w:ascii="Verdana" w:eastAsia="Times New Roman" w:hAnsi="Verdana"/>
          <w:bCs/>
          <w:color w:val="183850" w:themeColor="text1"/>
          <w:sz w:val="20"/>
          <w:szCs w:val="20"/>
        </w:rPr>
      </w:pPr>
      <w:r w:rsidRPr="003B4083">
        <w:rPr>
          <w:rFonts w:ascii="Verdana" w:hAnsi="Verdana"/>
          <w:bCs/>
          <w:color w:val="183850" w:themeColor="text1"/>
          <w:sz w:val="20"/>
          <w:szCs w:val="20"/>
        </w:rPr>
        <w:t xml:space="preserve">LAPFF </w:t>
      </w:r>
      <w:r w:rsidRPr="003B4083">
        <w:rPr>
          <w:rFonts w:ascii="Verdana" w:hAnsi="Verdana"/>
          <w:bCs/>
          <w:color w:val="183850" w:themeColor="text1"/>
          <w:sz w:val="20"/>
          <w:szCs w:val="20"/>
        </w:rPr>
        <w:t>has historically been</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 xml:space="preserve">LCPF's preferred engagement partner. The Forum </w:t>
      </w:r>
      <w:r w:rsidRPr="003B4083">
        <w:rPr>
          <w:rFonts w:ascii="Verdana" w:hAnsi="Verdana"/>
          <w:bCs/>
          <w:color w:val="183850" w:themeColor="text1"/>
          <w:sz w:val="20"/>
          <w:szCs w:val="20"/>
        </w:rPr>
        <w:t xml:space="preserve">exists to promote the </w:t>
      </w:r>
      <w:r w:rsidRPr="003B4083">
        <w:rPr>
          <w:rFonts w:ascii="Verdana" w:hAnsi="Verdana"/>
          <w:bCs/>
          <w:color w:val="183850" w:themeColor="text1"/>
          <w:sz w:val="20"/>
          <w:szCs w:val="20"/>
        </w:rPr>
        <w:t xml:space="preserve">specific </w:t>
      </w:r>
      <w:r w:rsidRPr="003B4083">
        <w:rPr>
          <w:rFonts w:ascii="Verdana" w:hAnsi="Verdana"/>
          <w:bCs/>
          <w:color w:val="183850" w:themeColor="text1"/>
          <w:sz w:val="20"/>
          <w:szCs w:val="20"/>
        </w:rPr>
        <w:t>investment interests of local authority pension funds as asset owners. 73 of the 89 LGPS funds are now</w:t>
      </w:r>
      <w:r w:rsidRPr="003B4083">
        <w:rPr>
          <w:rFonts w:ascii="Verdana" w:hAnsi="Verdana"/>
          <w:bCs/>
          <w:color w:val="183850" w:themeColor="text1"/>
          <w:sz w:val="20"/>
          <w:szCs w:val="20"/>
        </w:rPr>
        <w:t xml:space="preserve"> members</w:t>
      </w:r>
      <w:r w:rsidRPr="003B4083">
        <w:rPr>
          <w:rFonts w:ascii="Verdana" w:hAnsi="Verdana"/>
          <w:bCs/>
          <w:color w:val="183850" w:themeColor="text1"/>
          <w:sz w:val="20"/>
          <w:szCs w:val="20"/>
        </w:rPr>
        <w:t xml:space="preserve"> (with combined assets of over £200bn)</w:t>
      </w:r>
      <w:r w:rsidRPr="003B4083">
        <w:rPr>
          <w:rFonts w:ascii="Verdana" w:hAnsi="Verdana"/>
          <w:bCs/>
          <w:color w:val="183850" w:themeColor="text1"/>
          <w:sz w:val="20"/>
          <w:szCs w:val="20"/>
        </w:rPr>
        <w:t xml:space="preserve">. LCPF </w:t>
      </w:r>
      <w:r w:rsidRPr="003B4083">
        <w:rPr>
          <w:rFonts w:ascii="Verdana" w:hAnsi="Verdana"/>
          <w:bCs/>
          <w:color w:val="183850" w:themeColor="text1"/>
          <w:sz w:val="20"/>
          <w:szCs w:val="20"/>
        </w:rPr>
        <w:t>has been</w:t>
      </w:r>
      <w:r w:rsidRPr="003B4083">
        <w:rPr>
          <w:rFonts w:ascii="Verdana" w:hAnsi="Verdana"/>
          <w:bCs/>
          <w:color w:val="183850" w:themeColor="text1"/>
          <w:sz w:val="20"/>
          <w:szCs w:val="20"/>
        </w:rPr>
        <w:t xml:space="preserve"> a </w:t>
      </w:r>
      <w:r w:rsidRPr="003B4083">
        <w:rPr>
          <w:rFonts w:ascii="Verdana" w:hAnsi="Verdana"/>
          <w:bCs/>
          <w:color w:val="183850" w:themeColor="text1"/>
          <w:sz w:val="20"/>
          <w:szCs w:val="20"/>
        </w:rPr>
        <w:t xml:space="preserve">Forum </w:t>
      </w:r>
      <w:r w:rsidRPr="003B4083">
        <w:rPr>
          <w:rFonts w:ascii="Verdana" w:hAnsi="Verdana"/>
          <w:bCs/>
          <w:color w:val="183850" w:themeColor="text1"/>
          <w:sz w:val="20"/>
          <w:szCs w:val="20"/>
        </w:rPr>
        <w:t xml:space="preserve">member of long standing. </w:t>
      </w:r>
      <w:r w:rsidRPr="003B4083">
        <w:rPr>
          <w:rFonts w:ascii="Verdana" w:eastAsia="Times New Roman" w:hAnsi="Verdana"/>
          <w:bCs/>
          <w:color w:val="183850" w:themeColor="text1"/>
          <w:sz w:val="20"/>
          <w:szCs w:val="20"/>
        </w:rPr>
        <w:t>On behalf of LCPF, LPP I attend</w:t>
      </w:r>
      <w:r w:rsidRPr="003B4083">
        <w:rPr>
          <w:rFonts w:ascii="Verdana" w:eastAsia="Times New Roman" w:hAnsi="Verdana"/>
          <w:bCs/>
          <w:color w:val="183850" w:themeColor="text1"/>
          <w:sz w:val="20"/>
          <w:szCs w:val="20"/>
        </w:rPr>
        <w:t>s</w:t>
      </w:r>
      <w:r w:rsidRPr="003B4083">
        <w:rPr>
          <w:rFonts w:ascii="Verdana" w:eastAsia="Times New Roman" w:hAnsi="Verdana"/>
          <w:bCs/>
          <w:color w:val="183850" w:themeColor="text1"/>
          <w:sz w:val="20"/>
          <w:szCs w:val="20"/>
        </w:rPr>
        <w:t xml:space="preserve"> LAPFF business meetings, </w:t>
      </w:r>
      <w:r w:rsidRPr="003B4083">
        <w:rPr>
          <w:rFonts w:ascii="Verdana" w:eastAsia="Times New Roman" w:hAnsi="Verdana"/>
          <w:bCs/>
          <w:color w:val="183850" w:themeColor="text1"/>
          <w:sz w:val="20"/>
          <w:szCs w:val="20"/>
        </w:rPr>
        <w:t xml:space="preserve">seeks to </w:t>
      </w:r>
      <w:r w:rsidRPr="003B4083">
        <w:rPr>
          <w:rFonts w:ascii="Verdana" w:eastAsia="Times New Roman" w:hAnsi="Verdana"/>
          <w:bCs/>
          <w:color w:val="183850" w:themeColor="text1"/>
          <w:sz w:val="20"/>
          <w:szCs w:val="20"/>
        </w:rPr>
        <w:t>influenc</w:t>
      </w:r>
      <w:r w:rsidRPr="003B4083">
        <w:rPr>
          <w:rFonts w:ascii="Verdana" w:eastAsia="Times New Roman" w:hAnsi="Verdana"/>
          <w:bCs/>
          <w:color w:val="183850" w:themeColor="text1"/>
          <w:sz w:val="20"/>
          <w:szCs w:val="20"/>
        </w:rPr>
        <w:t>e</w:t>
      </w:r>
      <w:r w:rsidRPr="003B4083">
        <w:rPr>
          <w:rFonts w:ascii="Verdana" w:eastAsia="Times New Roman" w:hAnsi="Verdana"/>
          <w:bCs/>
          <w:color w:val="183850" w:themeColor="text1"/>
          <w:sz w:val="20"/>
          <w:szCs w:val="20"/>
        </w:rPr>
        <w:t xml:space="preserve"> debate, </w:t>
      </w:r>
      <w:r w:rsidRPr="003B4083">
        <w:rPr>
          <w:rFonts w:ascii="Verdana" w:eastAsia="Times New Roman" w:hAnsi="Verdana"/>
          <w:bCs/>
          <w:color w:val="183850" w:themeColor="text1"/>
          <w:sz w:val="20"/>
          <w:szCs w:val="20"/>
        </w:rPr>
        <w:t>exercis</w:t>
      </w:r>
      <w:r w:rsidRPr="003B4083">
        <w:rPr>
          <w:rFonts w:ascii="Verdana" w:eastAsia="Times New Roman" w:hAnsi="Verdana"/>
          <w:bCs/>
          <w:color w:val="183850" w:themeColor="text1"/>
          <w:sz w:val="20"/>
          <w:szCs w:val="20"/>
        </w:rPr>
        <w:t>es</w:t>
      </w:r>
      <w:r w:rsidRPr="003B4083">
        <w:rPr>
          <w:rFonts w:ascii="Verdana" w:eastAsia="Times New Roman" w:hAnsi="Verdana"/>
          <w:bCs/>
          <w:color w:val="183850" w:themeColor="text1"/>
          <w:sz w:val="20"/>
          <w:szCs w:val="20"/>
        </w:rPr>
        <w:t xml:space="preserve"> the Fund's voting rights, draft</w:t>
      </w:r>
      <w:r w:rsidRPr="003B4083">
        <w:rPr>
          <w:rFonts w:ascii="Verdana" w:eastAsia="Times New Roman" w:hAnsi="Verdana"/>
          <w:bCs/>
          <w:color w:val="183850" w:themeColor="text1"/>
          <w:sz w:val="20"/>
          <w:szCs w:val="20"/>
        </w:rPr>
        <w:t>s</w:t>
      </w:r>
      <w:r w:rsidRPr="003B4083">
        <w:rPr>
          <w:rFonts w:ascii="Verdana" w:eastAsia="Times New Roman" w:hAnsi="Verdana"/>
          <w:bCs/>
          <w:color w:val="183850" w:themeColor="text1"/>
          <w:sz w:val="20"/>
          <w:szCs w:val="20"/>
        </w:rPr>
        <w:t xml:space="preserve"> responses and feedba</w:t>
      </w:r>
      <w:r w:rsidRPr="003B4083">
        <w:rPr>
          <w:rFonts w:ascii="Verdana" w:eastAsia="Times New Roman" w:hAnsi="Verdana"/>
          <w:bCs/>
          <w:color w:val="183850" w:themeColor="text1"/>
          <w:sz w:val="20"/>
          <w:szCs w:val="20"/>
        </w:rPr>
        <w:t>ck to consult</w:t>
      </w:r>
      <w:r w:rsidRPr="003B4083">
        <w:rPr>
          <w:rFonts w:ascii="Verdana" w:eastAsia="Times New Roman" w:hAnsi="Verdana"/>
          <w:bCs/>
          <w:color w:val="183850" w:themeColor="text1"/>
          <w:sz w:val="20"/>
          <w:szCs w:val="20"/>
        </w:rPr>
        <w:t>ations and identif</w:t>
      </w:r>
      <w:r w:rsidRPr="003B4083">
        <w:rPr>
          <w:rFonts w:ascii="Verdana" w:eastAsia="Times New Roman" w:hAnsi="Verdana"/>
          <w:bCs/>
          <w:color w:val="183850" w:themeColor="text1"/>
          <w:sz w:val="20"/>
          <w:szCs w:val="20"/>
        </w:rPr>
        <w:t>i</w:t>
      </w:r>
      <w:r w:rsidRPr="003B4083">
        <w:rPr>
          <w:rFonts w:ascii="Verdana" w:eastAsia="Times New Roman" w:hAnsi="Verdana"/>
          <w:bCs/>
          <w:color w:val="183850" w:themeColor="text1"/>
          <w:sz w:val="20"/>
          <w:szCs w:val="20"/>
        </w:rPr>
        <w:t>es</w:t>
      </w:r>
      <w:r w:rsidRPr="003B4083">
        <w:rPr>
          <w:rFonts w:ascii="Verdana" w:eastAsia="Times New Roman" w:hAnsi="Verdana"/>
          <w:bCs/>
          <w:color w:val="183850" w:themeColor="text1"/>
          <w:sz w:val="20"/>
          <w:szCs w:val="20"/>
        </w:rPr>
        <w:t xml:space="preserve"> opportunities for participation in wider initiatives.</w:t>
      </w:r>
    </w:p>
    <w:p w:rsidR="006934F8" w:rsidRPr="00A21E82" w:rsidRDefault="00067BC0" w:rsidP="003B4083">
      <w:pPr>
        <w:spacing w:after="0"/>
        <w:rPr>
          <w:rFonts w:ascii="Verdana" w:hAnsi="Verdana"/>
          <w:bCs/>
          <w:color w:val="183850" w:themeColor="text1"/>
          <w:sz w:val="20"/>
          <w:szCs w:val="20"/>
        </w:rPr>
      </w:pPr>
      <w:r w:rsidRPr="00A21E82">
        <w:rPr>
          <w:rFonts w:ascii="Verdana" w:hAnsi="Verdana"/>
          <w:bCs/>
          <w:color w:val="183850" w:themeColor="text1"/>
          <w:sz w:val="20"/>
          <w:szCs w:val="20"/>
        </w:rPr>
        <w:t xml:space="preserve"> </w:t>
      </w:r>
    </w:p>
    <w:p w:rsidR="00067BC0" w:rsidRDefault="00A21E82" w:rsidP="00A21E82">
      <w:pPr>
        <w:autoSpaceDE w:val="0"/>
        <w:autoSpaceDN w:val="0"/>
        <w:rPr>
          <w:rFonts w:ascii="Verdana" w:hAnsi="Verdana"/>
          <w:iCs/>
          <w:color w:val="183850"/>
          <w:sz w:val="20"/>
          <w:szCs w:val="20"/>
          <w:lang w:eastAsia="en-GB"/>
        </w:rPr>
      </w:pPr>
      <w:r w:rsidRPr="00A21E82">
        <w:rPr>
          <w:rFonts w:ascii="Verdana" w:hAnsi="Verdana"/>
          <w:iCs/>
          <w:color w:val="183850"/>
          <w:sz w:val="20"/>
          <w:szCs w:val="20"/>
          <w:lang w:eastAsia="en-GB"/>
        </w:rPr>
        <w:t xml:space="preserve">On a quarterly basis LAPFF provides Forum members with a summary of the engagement activities undertaken on their behalf. </w:t>
      </w:r>
    </w:p>
    <w:p w:rsidR="00A21E82" w:rsidRPr="00A21E82" w:rsidRDefault="00A21E82" w:rsidP="00A21E82">
      <w:pPr>
        <w:autoSpaceDE w:val="0"/>
        <w:autoSpaceDN w:val="0"/>
      </w:pPr>
      <w:r w:rsidRPr="00067BC0">
        <w:rPr>
          <w:rFonts w:ascii="Verdana" w:hAnsi="Verdana"/>
          <w:b/>
          <w:iCs/>
          <w:color w:val="183850"/>
          <w:sz w:val="20"/>
          <w:szCs w:val="20"/>
          <w:lang w:eastAsia="en-GB"/>
        </w:rPr>
        <w:t>A copy of LAPFF's Q1 2017 Engagement Report has been placed within the members reading room for reference.</w:t>
      </w:r>
    </w:p>
    <w:p w:rsidR="00A21E82" w:rsidRDefault="00A21E82" w:rsidP="003B4083">
      <w:pPr>
        <w:autoSpaceDE w:val="0"/>
        <w:autoSpaceDN w:val="0"/>
        <w:adjustRightInd w:val="0"/>
        <w:spacing w:after="0" w:line="240" w:lineRule="auto"/>
        <w:rPr>
          <w:rFonts w:ascii="Verdana" w:hAnsi="Verdana" w:cs="NimbusSanL-Regu"/>
          <w:color w:val="183850" w:themeColor="text1"/>
          <w:sz w:val="20"/>
          <w:szCs w:val="20"/>
        </w:rPr>
      </w:pPr>
      <w:bookmarkStart w:id="0" w:name="_GoBack"/>
      <w:bookmarkEnd w:id="0"/>
    </w:p>
    <w:p w:rsidR="00A21E82" w:rsidRDefault="00A21E82" w:rsidP="003B4083">
      <w:pPr>
        <w:autoSpaceDE w:val="0"/>
        <w:autoSpaceDN w:val="0"/>
        <w:adjustRightInd w:val="0"/>
        <w:spacing w:after="0" w:line="240" w:lineRule="auto"/>
        <w:rPr>
          <w:rFonts w:ascii="Verdana" w:hAnsi="Verdana" w:cs="NimbusSanL-Regu"/>
          <w:color w:val="183850" w:themeColor="text1"/>
          <w:sz w:val="20"/>
          <w:szCs w:val="20"/>
        </w:rPr>
      </w:pPr>
    </w:p>
    <w:p w:rsidR="00A21E82" w:rsidRDefault="00A21E82" w:rsidP="003B4083">
      <w:pPr>
        <w:autoSpaceDE w:val="0"/>
        <w:autoSpaceDN w:val="0"/>
        <w:adjustRightInd w:val="0"/>
        <w:spacing w:after="0" w:line="240" w:lineRule="auto"/>
        <w:rPr>
          <w:rFonts w:ascii="Verdana" w:hAnsi="Verdana" w:cs="NimbusSanL-Regu"/>
          <w:color w:val="183850" w:themeColor="text1"/>
          <w:sz w:val="20"/>
          <w:szCs w:val="20"/>
        </w:rPr>
      </w:pPr>
    </w:p>
    <w:p w:rsidR="00A21E82" w:rsidRDefault="00A21E82" w:rsidP="003B4083">
      <w:pPr>
        <w:autoSpaceDE w:val="0"/>
        <w:autoSpaceDN w:val="0"/>
        <w:adjustRightInd w:val="0"/>
        <w:spacing w:after="0" w:line="240" w:lineRule="auto"/>
        <w:rPr>
          <w:rFonts w:ascii="Verdana" w:hAnsi="Verdana" w:cs="NimbusSanL-Regu"/>
          <w:color w:val="183850" w:themeColor="text1"/>
          <w:sz w:val="20"/>
          <w:szCs w:val="20"/>
        </w:rPr>
      </w:pPr>
    </w:p>
    <w:p w:rsidR="00A21E82" w:rsidRDefault="00A21E82" w:rsidP="003B4083">
      <w:pPr>
        <w:autoSpaceDE w:val="0"/>
        <w:autoSpaceDN w:val="0"/>
        <w:adjustRightInd w:val="0"/>
        <w:spacing w:after="0" w:line="240" w:lineRule="auto"/>
        <w:rPr>
          <w:rFonts w:ascii="Verdana" w:hAnsi="Verdana" w:cs="NimbusSanL-Regu"/>
          <w:color w:val="183850" w:themeColor="text1"/>
          <w:sz w:val="20"/>
          <w:szCs w:val="20"/>
        </w:rPr>
      </w:pPr>
    </w:p>
    <w:p w:rsidR="00A21E82" w:rsidRPr="003B4083" w:rsidRDefault="00A21E82" w:rsidP="003B4083">
      <w:pPr>
        <w:autoSpaceDE w:val="0"/>
        <w:autoSpaceDN w:val="0"/>
        <w:adjustRightInd w:val="0"/>
        <w:spacing w:after="0" w:line="240" w:lineRule="auto"/>
        <w:rPr>
          <w:rFonts w:ascii="Verdana" w:hAnsi="Verdana" w:cs="NimbusSanL-Regu"/>
          <w:color w:val="183850" w:themeColor="text1"/>
          <w:sz w:val="20"/>
          <w:szCs w:val="20"/>
        </w:rPr>
      </w:pPr>
    </w:p>
    <w:p w:rsidR="006D0DBA" w:rsidRDefault="00067BC0" w:rsidP="003B4083">
      <w:pPr>
        <w:autoSpaceDE w:val="0"/>
        <w:autoSpaceDN w:val="0"/>
        <w:adjustRightInd w:val="0"/>
        <w:spacing w:after="0" w:line="240" w:lineRule="auto"/>
        <w:rPr>
          <w:rFonts w:ascii="Verdana" w:hAnsi="Verdana" w:cs="NimbusSanL-Regu"/>
          <w:color w:val="183850" w:themeColor="text1"/>
          <w:sz w:val="20"/>
          <w:szCs w:val="20"/>
        </w:rPr>
      </w:pPr>
    </w:p>
    <w:p w:rsidR="00A21E82" w:rsidRPr="003B4083" w:rsidRDefault="00A21E82" w:rsidP="003B4083">
      <w:pPr>
        <w:autoSpaceDE w:val="0"/>
        <w:autoSpaceDN w:val="0"/>
        <w:adjustRightInd w:val="0"/>
        <w:spacing w:after="0" w:line="240" w:lineRule="auto"/>
        <w:rPr>
          <w:rFonts w:ascii="Verdana" w:hAnsi="Verdana" w:cs="NimbusSanL-Regu"/>
          <w:color w:val="183850" w:themeColor="text1"/>
          <w:sz w:val="20"/>
          <w:szCs w:val="20"/>
        </w:rPr>
      </w:pPr>
    </w:p>
    <w:p w:rsidR="006D0DBA" w:rsidRPr="003B4083" w:rsidRDefault="00067BC0" w:rsidP="003B4083">
      <w:pPr>
        <w:autoSpaceDE w:val="0"/>
        <w:autoSpaceDN w:val="0"/>
        <w:adjustRightInd w:val="0"/>
        <w:spacing w:after="0" w:line="240" w:lineRule="auto"/>
        <w:rPr>
          <w:rFonts w:ascii="Verdana" w:hAnsi="Verdana" w:cs="NimbusSanL-Regu"/>
          <w:color w:val="183850" w:themeColor="text1"/>
          <w:sz w:val="20"/>
          <w:szCs w:val="20"/>
        </w:rPr>
      </w:pPr>
    </w:p>
    <w:p w:rsidR="006D0DBA" w:rsidRPr="003B4083" w:rsidRDefault="00067BC0" w:rsidP="003B4083">
      <w:pPr>
        <w:autoSpaceDE w:val="0"/>
        <w:autoSpaceDN w:val="0"/>
        <w:adjustRightInd w:val="0"/>
        <w:spacing w:after="0" w:line="240" w:lineRule="auto"/>
        <w:rPr>
          <w:rFonts w:ascii="Verdana" w:hAnsi="Verdana" w:cs="NimbusSanL-Regu"/>
          <w:color w:val="183850" w:themeColor="text1"/>
          <w:sz w:val="20"/>
          <w:szCs w:val="20"/>
        </w:rPr>
      </w:pPr>
    </w:p>
    <w:p w:rsidR="0030477F" w:rsidRPr="003B4083" w:rsidRDefault="00067BC0" w:rsidP="003B4083">
      <w:pPr>
        <w:autoSpaceDE w:val="0"/>
        <w:autoSpaceDN w:val="0"/>
        <w:adjustRightInd w:val="0"/>
        <w:spacing w:after="0" w:line="240" w:lineRule="auto"/>
        <w:rPr>
          <w:rFonts w:ascii="Verdana" w:hAnsi="Verdana" w:cs="Seravek-Light"/>
          <w:color w:val="183850" w:themeColor="text1"/>
          <w:sz w:val="20"/>
          <w:szCs w:val="20"/>
        </w:rPr>
      </w:pPr>
      <w:r w:rsidRPr="003B4083">
        <w:rPr>
          <w:rFonts w:ascii="Verdana" w:hAnsi="Verdana" w:cs="NimbusSanL-Regu"/>
          <w:color w:val="183850" w:themeColor="text1"/>
          <w:sz w:val="20"/>
          <w:szCs w:val="20"/>
        </w:rPr>
        <w:lastRenderedPageBreak/>
        <w:t>Q</w:t>
      </w:r>
      <w:r w:rsidRPr="003B4083">
        <w:rPr>
          <w:rFonts w:ascii="Verdana" w:hAnsi="Verdana" w:cs="Seravek-Light"/>
          <w:color w:val="183850" w:themeColor="text1"/>
          <w:sz w:val="20"/>
          <w:szCs w:val="20"/>
        </w:rPr>
        <w:t>uantifi</w:t>
      </w:r>
      <w:r w:rsidRPr="003B4083">
        <w:rPr>
          <w:rFonts w:ascii="Verdana" w:hAnsi="Verdana" w:cs="Seravek-Light"/>
          <w:color w:val="183850" w:themeColor="text1"/>
          <w:sz w:val="20"/>
          <w:szCs w:val="20"/>
        </w:rPr>
        <w:t>ed</w:t>
      </w:r>
      <w:r w:rsidRPr="003B4083">
        <w:rPr>
          <w:rFonts w:ascii="Verdana" w:hAnsi="Verdana" w:cs="Seravek-Light"/>
          <w:color w:val="183850" w:themeColor="text1"/>
          <w:sz w:val="20"/>
          <w:szCs w:val="20"/>
        </w:rPr>
        <w:t xml:space="preserve"> across thematic topics,</w:t>
      </w:r>
      <w:r w:rsidRPr="003B4083">
        <w:rPr>
          <w:rFonts w:ascii="Verdana" w:hAnsi="Verdana" w:cs="Seravek-Light"/>
          <w:color w:val="183850" w:themeColor="text1"/>
          <w:sz w:val="20"/>
          <w:szCs w:val="20"/>
        </w:rPr>
        <w:t xml:space="preserve"> </w:t>
      </w:r>
      <w:r w:rsidRPr="003B4083">
        <w:rPr>
          <w:rFonts w:ascii="Verdana" w:hAnsi="Verdana" w:cs="Seravek-Light"/>
          <w:color w:val="183850" w:themeColor="text1"/>
          <w:sz w:val="20"/>
          <w:szCs w:val="20"/>
        </w:rPr>
        <w:t xml:space="preserve">Q1 engagement activity </w:t>
      </w:r>
      <w:r w:rsidRPr="003B4083">
        <w:rPr>
          <w:rFonts w:ascii="Verdana" w:hAnsi="Verdana" w:cs="Seravek-Light"/>
          <w:color w:val="183850" w:themeColor="text1"/>
          <w:sz w:val="20"/>
          <w:szCs w:val="20"/>
        </w:rPr>
        <w:t xml:space="preserve">by LAPFF </w:t>
      </w:r>
      <w:r w:rsidRPr="003B4083">
        <w:rPr>
          <w:rFonts w:ascii="Verdana" w:hAnsi="Verdana" w:cs="Seravek-Light"/>
          <w:color w:val="183850" w:themeColor="text1"/>
          <w:sz w:val="20"/>
          <w:szCs w:val="20"/>
        </w:rPr>
        <w:t>w</w:t>
      </w:r>
      <w:r w:rsidRPr="003B4083">
        <w:rPr>
          <w:rFonts w:ascii="Verdana" w:hAnsi="Verdana" w:cs="Seravek-Light"/>
          <w:color w:val="183850" w:themeColor="text1"/>
          <w:sz w:val="20"/>
          <w:szCs w:val="20"/>
        </w:rPr>
        <w:t xml:space="preserve">as </w:t>
      </w:r>
      <w:r w:rsidRPr="003B4083">
        <w:rPr>
          <w:rFonts w:ascii="Verdana" w:hAnsi="Verdana" w:cs="Seravek-Light"/>
          <w:color w:val="183850" w:themeColor="text1"/>
          <w:sz w:val="20"/>
          <w:szCs w:val="20"/>
        </w:rPr>
        <w:t xml:space="preserve">as </w:t>
      </w:r>
      <w:r w:rsidRPr="003B4083">
        <w:rPr>
          <w:rFonts w:ascii="Verdana" w:hAnsi="Verdana" w:cs="Seravek-Light"/>
          <w:color w:val="183850" w:themeColor="text1"/>
          <w:sz w:val="20"/>
          <w:szCs w:val="20"/>
        </w:rPr>
        <w:t>follows</w:t>
      </w:r>
      <w:r w:rsidRPr="003B4083">
        <w:rPr>
          <w:rFonts w:ascii="Verdana" w:hAnsi="Verdana" w:cs="Seravek-Light"/>
          <w:color w:val="183850" w:themeColor="text1"/>
          <w:sz w:val="20"/>
          <w:szCs w:val="20"/>
        </w:rPr>
        <w:t>:</w:t>
      </w:r>
      <w:r w:rsidRPr="003B4083">
        <w:rPr>
          <w:rFonts w:ascii="Verdana" w:hAnsi="Verdana" w:cs="Seravek-Light"/>
          <w:color w:val="183850" w:themeColor="text1"/>
          <w:sz w:val="20"/>
          <w:szCs w:val="20"/>
        </w:rPr>
        <w:t xml:space="preserve"> </w:t>
      </w:r>
    </w:p>
    <w:p w:rsidR="002A4F1A" w:rsidRPr="003B4083" w:rsidRDefault="00067BC0" w:rsidP="003B4083">
      <w:pPr>
        <w:autoSpaceDE w:val="0"/>
        <w:autoSpaceDN w:val="0"/>
        <w:adjustRightInd w:val="0"/>
        <w:spacing w:after="0" w:line="240" w:lineRule="auto"/>
        <w:rPr>
          <w:rFonts w:ascii="Verdana" w:hAnsi="Verdana" w:cs="Seravek-Light"/>
          <w:color w:val="183850" w:themeColor="text1"/>
          <w:sz w:val="20"/>
          <w:szCs w:val="20"/>
        </w:rPr>
      </w:pPr>
    </w:p>
    <w:p w:rsidR="003E63E7" w:rsidRDefault="00067BC0" w:rsidP="003B4083">
      <w:pPr>
        <w:autoSpaceDE w:val="0"/>
        <w:autoSpaceDN w:val="0"/>
        <w:adjustRightInd w:val="0"/>
        <w:spacing w:after="0" w:line="240" w:lineRule="auto"/>
        <w:rPr>
          <w:rFonts w:ascii="Verdana" w:hAnsi="Verdana" w:cs="Seravek-Light"/>
          <w:sz w:val="20"/>
          <w:szCs w:val="20"/>
        </w:rPr>
      </w:pPr>
      <w:r>
        <w:rPr>
          <w:noProof/>
          <w:lang w:eastAsia="en-GB"/>
        </w:rPr>
        <w:drawing>
          <wp:inline distT="0" distB="0" distL="0" distR="0">
            <wp:extent cx="5127661" cy="258825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7304" cy="2593126"/>
                    </a:xfrm>
                    <a:prstGeom prst="rect">
                      <a:avLst/>
                    </a:prstGeom>
                  </pic:spPr>
                </pic:pic>
              </a:graphicData>
            </a:graphic>
          </wp:inline>
        </w:drawing>
      </w:r>
    </w:p>
    <w:p w:rsidR="002A4F1A" w:rsidRDefault="00067BC0" w:rsidP="003B4083">
      <w:pPr>
        <w:autoSpaceDE w:val="0"/>
        <w:autoSpaceDN w:val="0"/>
        <w:adjustRightInd w:val="0"/>
        <w:spacing w:after="0" w:line="240" w:lineRule="auto"/>
        <w:rPr>
          <w:rFonts w:ascii="Verdana" w:hAnsi="Verdana" w:cs="Seravek-Light"/>
          <w:sz w:val="20"/>
          <w:szCs w:val="20"/>
        </w:rPr>
      </w:pPr>
    </w:p>
    <w:p w:rsidR="00E0367E" w:rsidRPr="003B4083" w:rsidRDefault="00067BC0" w:rsidP="003B4083">
      <w:pPr>
        <w:widowControl w:val="0"/>
        <w:spacing w:after="0"/>
        <w:outlineLvl w:val="0"/>
        <w:rPr>
          <w:rFonts w:ascii="Verdana" w:hAnsi="Verdana"/>
          <w:bCs/>
          <w:color w:val="183850" w:themeColor="text1"/>
          <w:sz w:val="20"/>
          <w:szCs w:val="20"/>
        </w:rPr>
      </w:pPr>
      <w:r w:rsidRPr="003B4083">
        <w:rPr>
          <w:rFonts w:ascii="Verdana" w:eastAsia="Times New Roman" w:hAnsi="Verdana"/>
          <w:bCs/>
          <w:color w:val="183850" w:themeColor="text1"/>
          <w:sz w:val="20"/>
          <w:szCs w:val="20"/>
        </w:rPr>
        <w:t>LAPFF's</w:t>
      </w:r>
      <w:r w:rsidRPr="003B4083">
        <w:rPr>
          <w:rFonts w:ascii="Verdana" w:eastAsia="Times New Roman" w:hAnsi="Verdana"/>
          <w:bCs/>
          <w:color w:val="183850" w:themeColor="text1"/>
          <w:sz w:val="20"/>
          <w:szCs w:val="20"/>
        </w:rPr>
        <w:t xml:space="preserve"> </w:t>
      </w:r>
      <w:r w:rsidRPr="003B4083">
        <w:rPr>
          <w:rFonts w:ascii="Verdana" w:eastAsia="Times New Roman" w:hAnsi="Verdana"/>
          <w:bCs/>
          <w:color w:val="183850" w:themeColor="text1"/>
          <w:sz w:val="20"/>
          <w:szCs w:val="20"/>
        </w:rPr>
        <w:t xml:space="preserve">most recent quarterly Business Meeting took place on </w:t>
      </w:r>
      <w:r w:rsidRPr="003B4083">
        <w:rPr>
          <w:rFonts w:ascii="Verdana" w:hAnsi="Verdana"/>
          <w:bCs/>
          <w:color w:val="183850" w:themeColor="text1"/>
          <w:sz w:val="20"/>
          <w:szCs w:val="20"/>
        </w:rPr>
        <w:t>11</w:t>
      </w:r>
      <w:r w:rsidRPr="003B4083">
        <w:rPr>
          <w:rFonts w:ascii="Verdana" w:hAnsi="Verdana"/>
          <w:bCs/>
          <w:color w:val="183850" w:themeColor="text1"/>
          <w:sz w:val="20"/>
          <w:szCs w:val="20"/>
          <w:vertAlign w:val="superscript"/>
        </w:rPr>
        <w:t>th</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April 2017</w:t>
      </w:r>
      <w:r w:rsidRPr="003B4083">
        <w:rPr>
          <w:rFonts w:ascii="Verdana" w:hAnsi="Verdana"/>
          <w:bCs/>
          <w:color w:val="183850" w:themeColor="text1"/>
          <w:sz w:val="20"/>
          <w:szCs w:val="20"/>
        </w:rPr>
        <w:t xml:space="preserve"> and was attended by the RI Manager</w:t>
      </w:r>
      <w:r w:rsidRPr="003B4083">
        <w:rPr>
          <w:rFonts w:ascii="Verdana" w:hAnsi="Verdana"/>
          <w:bCs/>
          <w:color w:val="183850" w:themeColor="text1"/>
          <w:sz w:val="20"/>
          <w:szCs w:val="20"/>
        </w:rPr>
        <w:t>.</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H</w:t>
      </w:r>
      <w:r w:rsidRPr="003B4083">
        <w:rPr>
          <w:rFonts w:ascii="Verdana" w:hAnsi="Verdana" w:cs="Verdana"/>
          <w:color w:val="183850" w:themeColor="text1"/>
          <w:sz w:val="20"/>
          <w:szCs w:val="20"/>
        </w:rPr>
        <w:t xml:space="preserve">eadlines </w:t>
      </w:r>
      <w:r w:rsidRPr="003B4083">
        <w:rPr>
          <w:rFonts w:ascii="Verdana" w:hAnsi="Verdana" w:cs="Verdana"/>
          <w:color w:val="183850" w:themeColor="text1"/>
          <w:sz w:val="20"/>
          <w:szCs w:val="20"/>
        </w:rPr>
        <w:t xml:space="preserve">from the meeting </w:t>
      </w:r>
      <w:r w:rsidRPr="003B4083">
        <w:rPr>
          <w:rFonts w:ascii="Verdana" w:hAnsi="Verdana" w:cs="Verdana"/>
          <w:color w:val="183850" w:themeColor="text1"/>
          <w:sz w:val="20"/>
          <w:szCs w:val="20"/>
        </w:rPr>
        <w:t>include</w:t>
      </w:r>
      <w:r w:rsidRPr="003B4083">
        <w:rPr>
          <w:rFonts w:ascii="Verdana" w:hAnsi="Verdana" w:cs="Verdana"/>
          <w:color w:val="183850" w:themeColor="text1"/>
          <w:sz w:val="20"/>
          <w:szCs w:val="20"/>
        </w:rPr>
        <w:t>d</w:t>
      </w:r>
      <w:r w:rsidRPr="003B4083">
        <w:rPr>
          <w:rFonts w:ascii="Verdana" w:hAnsi="Verdana" w:cs="Verdana"/>
          <w:color w:val="183850" w:themeColor="text1"/>
          <w:sz w:val="20"/>
          <w:szCs w:val="20"/>
        </w:rPr>
        <w:t xml:space="preserve"> the following matters:</w:t>
      </w:r>
    </w:p>
    <w:p w:rsidR="006F74BD" w:rsidRPr="003B4083" w:rsidRDefault="00067BC0" w:rsidP="003B4083">
      <w:pPr>
        <w:spacing w:after="0"/>
        <w:rPr>
          <w:rFonts w:ascii="Verdana" w:eastAsia="Times New Roman" w:hAnsi="Verdana"/>
          <w:bCs/>
          <w:color w:val="183850" w:themeColor="text1"/>
          <w:sz w:val="20"/>
          <w:szCs w:val="20"/>
        </w:rPr>
      </w:pPr>
    </w:p>
    <w:p w:rsidR="00E70853" w:rsidRPr="003B4083" w:rsidRDefault="00067BC0" w:rsidP="003B4083">
      <w:pPr>
        <w:spacing w:after="0"/>
        <w:jc w:val="both"/>
        <w:rPr>
          <w:rFonts w:ascii="Verdana" w:hAnsi="Verdana"/>
          <w:bCs/>
          <w:color w:val="183850" w:themeColor="text1"/>
          <w:sz w:val="20"/>
          <w:szCs w:val="20"/>
          <w:u w:val="single"/>
        </w:rPr>
      </w:pPr>
      <w:r w:rsidRPr="003B4083">
        <w:rPr>
          <w:rFonts w:ascii="Verdana" w:hAnsi="Verdana"/>
          <w:bCs/>
          <w:color w:val="183850" w:themeColor="text1"/>
          <w:sz w:val="20"/>
          <w:szCs w:val="20"/>
          <w:u w:val="single"/>
        </w:rPr>
        <w:t>Forum Officers' Report</w:t>
      </w:r>
    </w:p>
    <w:p w:rsidR="001A3CBB" w:rsidRPr="003B4083" w:rsidRDefault="00067BC0" w:rsidP="0044001A">
      <w:pPr>
        <w:spacing w:after="0"/>
        <w:jc w:val="both"/>
        <w:rPr>
          <w:rFonts w:ascii="Verdana" w:hAnsi="Verdana" w:cs="Arial"/>
          <w:color w:val="183850" w:themeColor="text1"/>
          <w:sz w:val="20"/>
          <w:szCs w:val="20"/>
        </w:rPr>
      </w:pPr>
      <w:r w:rsidRPr="003B4083">
        <w:rPr>
          <w:rFonts w:ascii="Verdana" w:hAnsi="Verdana" w:cs="Arial"/>
          <w:color w:val="183850" w:themeColor="text1"/>
          <w:sz w:val="20"/>
          <w:szCs w:val="20"/>
        </w:rPr>
        <w:t>Following Durham Pension Fund's decision to join LAPFF the number of member funds now stands at 73 (82%). All 8 LGPS pools have funds which are members of LAPFF.</w:t>
      </w:r>
      <w:r w:rsidRPr="003B4083">
        <w:rPr>
          <w:rFonts w:ascii="Verdana" w:hAnsi="Verdana" w:cs="Helvetica"/>
          <w:color w:val="183850" w:themeColor="text1"/>
          <w:sz w:val="20"/>
          <w:szCs w:val="20"/>
        </w:rPr>
        <w:t xml:space="preserve"> </w:t>
      </w:r>
    </w:p>
    <w:p w:rsidR="001A3CBB" w:rsidRPr="003B4083" w:rsidRDefault="00067BC0" w:rsidP="003B4083">
      <w:pPr>
        <w:spacing w:after="0"/>
        <w:jc w:val="both"/>
        <w:rPr>
          <w:rFonts w:ascii="Verdana" w:hAnsi="Verdana"/>
          <w:bCs/>
          <w:color w:val="183850" w:themeColor="text1"/>
          <w:sz w:val="20"/>
          <w:szCs w:val="20"/>
        </w:rPr>
      </w:pPr>
      <w:r w:rsidRPr="003B4083">
        <w:rPr>
          <w:rFonts w:ascii="Verdana" w:hAnsi="Verdana"/>
          <w:bCs/>
          <w:color w:val="183850" w:themeColor="text1"/>
          <w:sz w:val="20"/>
          <w:szCs w:val="20"/>
        </w:rPr>
        <w:t>Details of "</w:t>
      </w:r>
      <w:r w:rsidRPr="003B4083">
        <w:rPr>
          <w:rFonts w:ascii="Verdana" w:hAnsi="Verdana"/>
          <w:bCs/>
          <w:color w:val="183850" w:themeColor="text1"/>
          <w:sz w:val="20"/>
          <w:szCs w:val="20"/>
        </w:rPr>
        <w:t>an</w:t>
      </w:r>
      <w:r w:rsidRPr="003B4083">
        <w:rPr>
          <w:rFonts w:ascii="Verdana" w:hAnsi="Verdana"/>
          <w:bCs/>
          <w:color w:val="183850" w:themeColor="text1"/>
          <w:sz w:val="20"/>
          <w:szCs w:val="20"/>
        </w:rPr>
        <w:t xml:space="preserve"> offer" for </w:t>
      </w:r>
      <w:r w:rsidRPr="003B4083">
        <w:rPr>
          <w:rFonts w:ascii="Verdana" w:hAnsi="Verdana"/>
          <w:bCs/>
          <w:color w:val="183850" w:themeColor="text1"/>
          <w:sz w:val="20"/>
          <w:szCs w:val="20"/>
        </w:rPr>
        <w:t xml:space="preserve">LGPS pools to </w:t>
      </w:r>
      <w:r w:rsidRPr="003B4083">
        <w:rPr>
          <w:rFonts w:ascii="Verdana" w:hAnsi="Verdana"/>
          <w:bCs/>
          <w:color w:val="183850" w:themeColor="text1"/>
          <w:sz w:val="20"/>
          <w:szCs w:val="20"/>
        </w:rPr>
        <w:t>participat</w:t>
      </w:r>
      <w:r w:rsidRPr="003B4083">
        <w:rPr>
          <w:rFonts w:ascii="Verdana" w:hAnsi="Verdana"/>
          <w:bCs/>
          <w:color w:val="183850" w:themeColor="text1"/>
          <w:sz w:val="20"/>
          <w:szCs w:val="20"/>
        </w:rPr>
        <w:t>e in LAPFF</w:t>
      </w:r>
      <w:r w:rsidRPr="003B4083">
        <w:rPr>
          <w:rFonts w:ascii="Verdana" w:hAnsi="Verdana"/>
          <w:bCs/>
          <w:color w:val="183850" w:themeColor="text1"/>
          <w:sz w:val="20"/>
          <w:szCs w:val="20"/>
        </w:rPr>
        <w:t xml:space="preserve"> is under development and will be considered by the Executive before being presented to the membership later in the year.</w:t>
      </w:r>
    </w:p>
    <w:p w:rsidR="00E70853" w:rsidRPr="003B4083" w:rsidRDefault="00067BC0" w:rsidP="003B4083">
      <w:pPr>
        <w:spacing w:after="0"/>
        <w:jc w:val="both"/>
        <w:rPr>
          <w:rFonts w:ascii="Verdana" w:hAnsi="Verdana"/>
          <w:bCs/>
          <w:color w:val="183850" w:themeColor="text1"/>
          <w:sz w:val="20"/>
          <w:szCs w:val="20"/>
          <w:u w:val="single"/>
        </w:rPr>
      </w:pPr>
    </w:p>
    <w:p w:rsidR="001A3CBB" w:rsidRPr="003B4083" w:rsidRDefault="00067BC0" w:rsidP="003B4083">
      <w:pPr>
        <w:spacing w:after="0"/>
        <w:jc w:val="both"/>
        <w:rPr>
          <w:rFonts w:ascii="Verdana" w:hAnsi="Verdana"/>
          <w:bCs/>
          <w:color w:val="183850" w:themeColor="text1"/>
          <w:sz w:val="20"/>
          <w:szCs w:val="20"/>
          <w:u w:val="single"/>
        </w:rPr>
      </w:pPr>
      <w:r w:rsidRPr="003B4083">
        <w:rPr>
          <w:rFonts w:ascii="Verdana" w:hAnsi="Verdana"/>
          <w:bCs/>
          <w:color w:val="183850" w:themeColor="text1"/>
          <w:sz w:val="20"/>
          <w:szCs w:val="20"/>
          <w:u w:val="single"/>
        </w:rPr>
        <w:t>Campaign on Reliable Accounts (Update)</w:t>
      </w:r>
    </w:p>
    <w:p w:rsidR="001A3CBB" w:rsidRPr="003B4083" w:rsidRDefault="00067BC0" w:rsidP="003B4083">
      <w:pPr>
        <w:spacing w:after="0"/>
        <w:jc w:val="both"/>
        <w:rPr>
          <w:rFonts w:ascii="Verdana" w:hAnsi="Verdana"/>
          <w:bCs/>
          <w:color w:val="183850" w:themeColor="text1"/>
          <w:sz w:val="20"/>
          <w:szCs w:val="20"/>
        </w:rPr>
      </w:pPr>
      <w:r w:rsidRPr="003B4083">
        <w:rPr>
          <w:rFonts w:ascii="Verdana" w:hAnsi="Verdana"/>
          <w:bCs/>
          <w:color w:val="183850" w:themeColor="text1"/>
          <w:sz w:val="20"/>
          <w:szCs w:val="20"/>
        </w:rPr>
        <w:t xml:space="preserve">LAPFF is </w:t>
      </w:r>
      <w:r w:rsidRPr="003B4083">
        <w:rPr>
          <w:rFonts w:ascii="Verdana" w:hAnsi="Verdana"/>
          <w:bCs/>
          <w:color w:val="183850" w:themeColor="text1"/>
          <w:sz w:val="20"/>
          <w:szCs w:val="20"/>
        </w:rPr>
        <w:t>working collaboratively on</w:t>
      </w:r>
      <w:r w:rsidRPr="003B4083">
        <w:rPr>
          <w:rFonts w:ascii="Verdana" w:hAnsi="Verdana"/>
          <w:bCs/>
          <w:color w:val="183850" w:themeColor="text1"/>
          <w:sz w:val="20"/>
          <w:szCs w:val="20"/>
        </w:rPr>
        <w:t xml:space="preserve"> a</w:t>
      </w:r>
      <w:r w:rsidRPr="003B4083">
        <w:rPr>
          <w:rFonts w:ascii="Verdana" w:hAnsi="Verdana"/>
          <w:bCs/>
          <w:color w:val="183850" w:themeColor="text1"/>
          <w:sz w:val="20"/>
          <w:szCs w:val="20"/>
        </w:rPr>
        <w:t>n</w:t>
      </w:r>
      <w:r w:rsidRPr="003B4083">
        <w:rPr>
          <w:rFonts w:ascii="Verdana" w:hAnsi="Verdana"/>
          <w:bCs/>
          <w:color w:val="183850" w:themeColor="text1"/>
          <w:sz w:val="20"/>
          <w:szCs w:val="20"/>
        </w:rPr>
        <w:t xml:space="preserve"> initiative addressing the failure of companies to report in compliance with the Companies Act. The campaign contends that companies are agreeing dividends and other disbursements illegally due to not having figures within their accounts on distributable v</w:t>
      </w:r>
      <w:r w:rsidRPr="003B4083">
        <w:rPr>
          <w:rFonts w:ascii="Verdana" w:hAnsi="Verdana"/>
          <w:bCs/>
          <w:color w:val="183850" w:themeColor="text1"/>
          <w:sz w:val="20"/>
          <w:szCs w:val="20"/>
        </w:rPr>
        <w:t>ersus non-distributable reserves. At the Business Meeting members agreed to LAPFF writing to the Big 4 firms to highlight requirements placed specifically on auditors under Section 92 of the Companies Act which relies upon financial detail which is not cur</w:t>
      </w:r>
      <w:r w:rsidRPr="003B4083">
        <w:rPr>
          <w:rFonts w:ascii="Verdana" w:hAnsi="Verdana"/>
          <w:bCs/>
          <w:color w:val="183850" w:themeColor="text1"/>
          <w:sz w:val="20"/>
          <w:szCs w:val="20"/>
        </w:rPr>
        <w:t>rently being reported systematically.</w:t>
      </w:r>
    </w:p>
    <w:p w:rsidR="00E70853" w:rsidRPr="003B4083" w:rsidRDefault="00067BC0" w:rsidP="003B4083">
      <w:pPr>
        <w:spacing w:after="0"/>
        <w:jc w:val="both"/>
        <w:rPr>
          <w:rFonts w:ascii="Verdana" w:hAnsi="Verdana"/>
          <w:bCs/>
          <w:color w:val="183850" w:themeColor="text1"/>
          <w:sz w:val="20"/>
          <w:szCs w:val="20"/>
          <w:u w:val="single"/>
        </w:rPr>
      </w:pPr>
    </w:p>
    <w:p w:rsidR="001A3CBB" w:rsidRPr="003B4083" w:rsidRDefault="00067BC0" w:rsidP="003B4083">
      <w:pPr>
        <w:spacing w:after="0"/>
        <w:jc w:val="both"/>
        <w:rPr>
          <w:rFonts w:ascii="Verdana" w:hAnsi="Verdana"/>
          <w:bCs/>
          <w:color w:val="183850" w:themeColor="text1"/>
          <w:sz w:val="20"/>
          <w:szCs w:val="20"/>
          <w:u w:val="single"/>
        </w:rPr>
      </w:pPr>
      <w:r w:rsidRPr="003B4083">
        <w:rPr>
          <w:rFonts w:ascii="Verdana" w:hAnsi="Verdana"/>
          <w:bCs/>
          <w:color w:val="183850" w:themeColor="text1"/>
          <w:sz w:val="20"/>
          <w:szCs w:val="20"/>
          <w:u w:val="single"/>
        </w:rPr>
        <w:t>Framework for a Climate Change Investment Policy</w:t>
      </w:r>
    </w:p>
    <w:p w:rsidR="001A3CBB"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bCs/>
          <w:color w:val="183850" w:themeColor="text1"/>
          <w:sz w:val="20"/>
          <w:szCs w:val="20"/>
        </w:rPr>
        <w:t xml:space="preserve">The Business Meeting received a proposed framework for a climate change investment policy </w:t>
      </w:r>
      <w:r w:rsidRPr="003B4083">
        <w:rPr>
          <w:rFonts w:ascii="Verdana" w:hAnsi="Verdana"/>
          <w:bCs/>
          <w:color w:val="183850" w:themeColor="text1"/>
          <w:sz w:val="20"/>
          <w:szCs w:val="20"/>
        </w:rPr>
        <w:t>intend</w:t>
      </w:r>
      <w:r w:rsidRPr="003B4083">
        <w:rPr>
          <w:rFonts w:ascii="Verdana" w:hAnsi="Verdana"/>
          <w:bCs/>
          <w:color w:val="183850" w:themeColor="text1"/>
          <w:sz w:val="20"/>
          <w:szCs w:val="20"/>
        </w:rPr>
        <w:t xml:space="preserve">ed to </w:t>
      </w:r>
      <w:r w:rsidRPr="003B4083">
        <w:rPr>
          <w:rFonts w:ascii="Verdana" w:hAnsi="Verdana" w:cs="Arial"/>
          <w:color w:val="183850" w:themeColor="text1"/>
          <w:sz w:val="20"/>
          <w:szCs w:val="20"/>
        </w:rPr>
        <w:t xml:space="preserve">help Funds by guiding their approach to </w:t>
      </w:r>
      <w:r w:rsidRPr="003B4083">
        <w:rPr>
          <w:rFonts w:ascii="Verdana" w:hAnsi="Verdana" w:cs="Arial"/>
          <w:color w:val="183850" w:themeColor="text1"/>
          <w:sz w:val="20"/>
          <w:szCs w:val="20"/>
        </w:rPr>
        <w:t xml:space="preserve">the </w:t>
      </w:r>
      <w:r w:rsidRPr="003B4083">
        <w:rPr>
          <w:rFonts w:ascii="Verdana" w:hAnsi="Verdana" w:cs="Arial"/>
          <w:color w:val="183850" w:themeColor="text1"/>
          <w:sz w:val="20"/>
          <w:szCs w:val="20"/>
        </w:rPr>
        <w:t xml:space="preserve">risks and opportunities that </w:t>
      </w:r>
      <w:r w:rsidRPr="003B4083">
        <w:rPr>
          <w:rFonts w:ascii="Verdana" w:hAnsi="Verdana" w:cs="Arial"/>
          <w:color w:val="183850" w:themeColor="text1"/>
          <w:sz w:val="20"/>
          <w:szCs w:val="20"/>
        </w:rPr>
        <w:t xml:space="preserve">may </w:t>
      </w:r>
      <w:r w:rsidRPr="003B4083">
        <w:rPr>
          <w:rFonts w:ascii="Verdana" w:hAnsi="Verdana" w:cs="Arial"/>
          <w:color w:val="183850" w:themeColor="text1"/>
          <w:sz w:val="20"/>
          <w:szCs w:val="20"/>
        </w:rPr>
        <w:t>result from the impact</w:t>
      </w:r>
      <w:r w:rsidRPr="003B4083">
        <w:rPr>
          <w:rFonts w:ascii="Verdana" w:hAnsi="Verdana" w:cs="Arial"/>
          <w:color w:val="183850" w:themeColor="text1"/>
          <w:sz w:val="20"/>
          <w:szCs w:val="20"/>
        </w:rPr>
        <w:t xml:space="preserve"> of climate change. </w:t>
      </w:r>
      <w:r w:rsidRPr="003B4083">
        <w:rPr>
          <w:rFonts w:ascii="Verdana" w:hAnsi="Verdana" w:cs="Arial"/>
          <w:color w:val="183850" w:themeColor="text1"/>
          <w:sz w:val="20"/>
          <w:szCs w:val="20"/>
        </w:rPr>
        <w:t xml:space="preserve">Forum members commented on the </w:t>
      </w:r>
      <w:r w:rsidRPr="003B4083">
        <w:rPr>
          <w:rFonts w:ascii="Verdana" w:hAnsi="Verdana" w:cs="Arial"/>
          <w:color w:val="183850" w:themeColor="text1"/>
          <w:sz w:val="20"/>
          <w:szCs w:val="20"/>
        </w:rPr>
        <w:t>draft policy</w:t>
      </w:r>
      <w:r w:rsidRPr="003B4083">
        <w:rPr>
          <w:rFonts w:ascii="Verdana" w:hAnsi="Verdana" w:cs="Arial"/>
          <w:color w:val="183850" w:themeColor="text1"/>
          <w:sz w:val="20"/>
          <w:szCs w:val="20"/>
        </w:rPr>
        <w:t xml:space="preserve"> and the need for it to reflect the reality of the</w:t>
      </w:r>
      <w:r w:rsidRPr="003B4083">
        <w:rPr>
          <w:rFonts w:ascii="Verdana" w:hAnsi="Verdana" w:cs="Arial"/>
          <w:color w:val="183850" w:themeColor="text1"/>
          <w:sz w:val="20"/>
          <w:szCs w:val="20"/>
        </w:rPr>
        <w:t>ir</w:t>
      </w:r>
      <w:r w:rsidRPr="003B4083">
        <w:rPr>
          <w:rFonts w:ascii="Verdana" w:hAnsi="Verdana" w:cs="Arial"/>
          <w:color w:val="183850" w:themeColor="text1"/>
          <w:sz w:val="20"/>
          <w:szCs w:val="20"/>
        </w:rPr>
        <w:t xml:space="preserve"> current position as well as aspirations for the future in order to be inclusive</w:t>
      </w:r>
      <w:r w:rsidRPr="003B4083">
        <w:rPr>
          <w:rFonts w:ascii="Verdana" w:hAnsi="Verdana" w:cs="Arial"/>
          <w:color w:val="183850" w:themeColor="text1"/>
          <w:sz w:val="20"/>
          <w:szCs w:val="20"/>
        </w:rPr>
        <w:t xml:space="preserve"> and </w:t>
      </w:r>
      <w:r w:rsidRPr="003B4083">
        <w:rPr>
          <w:rFonts w:ascii="Verdana" w:hAnsi="Verdana" w:cs="Arial"/>
          <w:color w:val="183850" w:themeColor="text1"/>
          <w:sz w:val="20"/>
          <w:szCs w:val="20"/>
        </w:rPr>
        <w:t>r</w:t>
      </w:r>
      <w:r w:rsidRPr="003B4083">
        <w:rPr>
          <w:rFonts w:ascii="Verdana" w:hAnsi="Verdana" w:cs="Arial"/>
          <w:color w:val="183850" w:themeColor="text1"/>
          <w:sz w:val="20"/>
          <w:szCs w:val="20"/>
        </w:rPr>
        <w:t>ealistic</w:t>
      </w:r>
      <w:r w:rsidRPr="003B4083">
        <w:rPr>
          <w:rFonts w:ascii="Verdana" w:hAnsi="Verdana" w:cs="Arial"/>
          <w:color w:val="183850" w:themeColor="text1"/>
          <w:sz w:val="20"/>
          <w:szCs w:val="20"/>
        </w:rPr>
        <w:t>. In response to member dialogue</w:t>
      </w:r>
      <w:r w:rsidRPr="003B4083">
        <w:rPr>
          <w:rFonts w:ascii="Verdana" w:hAnsi="Verdana" w:cs="Arial"/>
          <w:color w:val="183850" w:themeColor="text1"/>
          <w:sz w:val="20"/>
          <w:szCs w:val="20"/>
        </w:rPr>
        <w:t xml:space="preserve"> on the draft</w:t>
      </w:r>
      <w:r w:rsidRPr="003B4083">
        <w:rPr>
          <w:rFonts w:ascii="Verdana" w:hAnsi="Verdana" w:cs="Arial"/>
          <w:color w:val="183850" w:themeColor="text1"/>
          <w:sz w:val="20"/>
          <w:szCs w:val="20"/>
        </w:rPr>
        <w:t>, LAPFF has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organised an event on climate change scheduled for 22 June 2017 at which funds will have the opportunity to share real world insight and help to influence the format of the final policy guida</w:t>
      </w:r>
      <w:r w:rsidRPr="003B4083">
        <w:rPr>
          <w:rFonts w:ascii="Verdana" w:hAnsi="Verdana" w:cs="Arial"/>
          <w:color w:val="183850" w:themeColor="text1"/>
          <w:sz w:val="20"/>
          <w:szCs w:val="20"/>
        </w:rPr>
        <w:t xml:space="preserve">nce. </w:t>
      </w:r>
      <w:r w:rsidRPr="003B4083">
        <w:rPr>
          <w:rFonts w:ascii="Verdana" w:hAnsi="Verdana"/>
          <w:bCs/>
          <w:color w:val="183850" w:themeColor="text1"/>
          <w:sz w:val="20"/>
          <w:szCs w:val="20"/>
        </w:rPr>
        <w:t xml:space="preserve">The RI Manager </w:t>
      </w:r>
      <w:r w:rsidRPr="003B4083">
        <w:rPr>
          <w:rFonts w:ascii="Verdana" w:hAnsi="Verdana"/>
          <w:bCs/>
          <w:color w:val="183850" w:themeColor="text1"/>
          <w:sz w:val="20"/>
          <w:szCs w:val="20"/>
        </w:rPr>
        <w:t>will</w:t>
      </w:r>
      <w:r w:rsidRPr="003B4083">
        <w:rPr>
          <w:rFonts w:ascii="Verdana" w:hAnsi="Verdana"/>
          <w:bCs/>
          <w:color w:val="183850" w:themeColor="text1"/>
          <w:sz w:val="20"/>
          <w:szCs w:val="20"/>
        </w:rPr>
        <w:t xml:space="preserve"> participate and share insight </w:t>
      </w:r>
      <w:r w:rsidRPr="003B4083">
        <w:rPr>
          <w:rFonts w:ascii="Verdana" w:hAnsi="Verdana"/>
          <w:bCs/>
          <w:color w:val="183850" w:themeColor="text1"/>
          <w:sz w:val="20"/>
          <w:szCs w:val="20"/>
        </w:rPr>
        <w:t xml:space="preserve">on behalf of LCPF and LPFA. </w:t>
      </w:r>
    </w:p>
    <w:p w:rsidR="006D0DBA" w:rsidRPr="003B4083" w:rsidRDefault="00067BC0" w:rsidP="003B4083">
      <w:pPr>
        <w:autoSpaceDE w:val="0"/>
        <w:autoSpaceDN w:val="0"/>
        <w:adjustRightInd w:val="0"/>
        <w:spacing w:after="0"/>
        <w:rPr>
          <w:rFonts w:ascii="Verdana" w:hAnsi="Verdana" w:cs="Arial"/>
          <w:color w:val="183850" w:themeColor="text1"/>
          <w:sz w:val="20"/>
          <w:szCs w:val="20"/>
          <w:u w:val="single"/>
        </w:rPr>
      </w:pPr>
    </w:p>
    <w:p w:rsidR="001A3CBB" w:rsidRPr="003B4083" w:rsidRDefault="00067BC0" w:rsidP="003B4083">
      <w:pPr>
        <w:autoSpaceDE w:val="0"/>
        <w:autoSpaceDN w:val="0"/>
        <w:adjustRightInd w:val="0"/>
        <w:spacing w:after="0"/>
        <w:rPr>
          <w:rFonts w:ascii="Verdana" w:hAnsi="Verdana" w:cs="Arial"/>
          <w:color w:val="183850" w:themeColor="text1"/>
          <w:sz w:val="20"/>
          <w:szCs w:val="20"/>
          <w:u w:val="single"/>
        </w:rPr>
      </w:pPr>
      <w:r w:rsidRPr="003B4083">
        <w:rPr>
          <w:rFonts w:ascii="Verdana" w:hAnsi="Verdana" w:cs="Arial"/>
          <w:color w:val="183850" w:themeColor="text1"/>
          <w:sz w:val="20"/>
          <w:szCs w:val="20"/>
          <w:u w:val="single"/>
        </w:rPr>
        <w:t>Cyber Risk Engagement Proposal</w:t>
      </w:r>
    </w:p>
    <w:p w:rsidR="001A3CBB" w:rsidRPr="003B4083" w:rsidRDefault="00067BC0" w:rsidP="003B4083">
      <w:pPr>
        <w:autoSpaceDE w:val="0"/>
        <w:autoSpaceDN w:val="0"/>
        <w:adjustRightInd w:val="0"/>
        <w:spacing w:after="0"/>
        <w:rPr>
          <w:rFonts w:ascii="Verdana" w:hAnsi="Verdana" w:cs="Helvetica"/>
          <w:color w:val="183850" w:themeColor="text1"/>
          <w:sz w:val="20"/>
          <w:szCs w:val="20"/>
        </w:rPr>
      </w:pPr>
      <w:r w:rsidRPr="003B4083">
        <w:rPr>
          <w:rFonts w:ascii="Verdana" w:hAnsi="Verdana" w:cs="Helvetica"/>
          <w:color w:val="183850" w:themeColor="text1"/>
          <w:sz w:val="20"/>
          <w:szCs w:val="20"/>
        </w:rPr>
        <w:t xml:space="preserve">The </w:t>
      </w:r>
      <w:r w:rsidRPr="003B4083">
        <w:rPr>
          <w:rFonts w:ascii="Verdana" w:hAnsi="Verdana" w:cs="Helvetica"/>
          <w:color w:val="183850" w:themeColor="text1"/>
          <w:sz w:val="20"/>
          <w:szCs w:val="20"/>
        </w:rPr>
        <w:t xml:space="preserve">business </w:t>
      </w:r>
      <w:r w:rsidRPr="003B4083">
        <w:rPr>
          <w:rFonts w:ascii="Verdana" w:hAnsi="Verdana" w:cs="Helvetica"/>
          <w:color w:val="183850" w:themeColor="text1"/>
          <w:sz w:val="20"/>
          <w:szCs w:val="20"/>
        </w:rPr>
        <w:t xml:space="preserve">meeting received a proposal for a collaborative engagement on cyber security working in partnership with the Principles of Responsible Investment. Members </w:t>
      </w:r>
      <w:r w:rsidRPr="003B4083">
        <w:rPr>
          <w:rFonts w:ascii="Verdana" w:hAnsi="Verdana" w:cs="Helvetica"/>
          <w:color w:val="183850" w:themeColor="text1"/>
          <w:sz w:val="20"/>
          <w:szCs w:val="20"/>
        </w:rPr>
        <w:lastRenderedPageBreak/>
        <w:t>supported LAPFF</w:t>
      </w:r>
      <w:r w:rsidRPr="003B4083">
        <w:rPr>
          <w:rFonts w:ascii="Verdana" w:hAnsi="Verdana" w:cs="Helvetica"/>
          <w:color w:val="183850" w:themeColor="text1"/>
          <w:sz w:val="20"/>
          <w:szCs w:val="20"/>
        </w:rPr>
        <w:t xml:space="preserve"> undertaking a focused, small scale direct engagement with companies where cyber risk </w:t>
      </w:r>
      <w:r w:rsidRPr="003B4083">
        <w:rPr>
          <w:rFonts w:ascii="Verdana" w:hAnsi="Verdana" w:cs="Helvetica"/>
          <w:color w:val="183850" w:themeColor="text1"/>
          <w:sz w:val="20"/>
          <w:szCs w:val="20"/>
        </w:rPr>
        <w:t xml:space="preserve">is material. The engagement will aim to </w:t>
      </w:r>
      <w:r w:rsidRPr="003B4083">
        <w:rPr>
          <w:rFonts w:ascii="Verdana" w:hAnsi="Verdana" w:cs="ArialMT"/>
          <w:color w:val="183850" w:themeColor="text1"/>
          <w:sz w:val="20"/>
          <w:szCs w:val="20"/>
        </w:rPr>
        <w:t>improve risk management from the Board’s perspective</w:t>
      </w:r>
      <w:r w:rsidRPr="003B4083">
        <w:rPr>
          <w:rFonts w:ascii="Verdana" w:hAnsi="Verdana" w:cs="Helvetica"/>
          <w:color w:val="183850" w:themeColor="text1"/>
          <w:sz w:val="20"/>
          <w:szCs w:val="20"/>
        </w:rPr>
        <w:t xml:space="preserve"> and is to be targeted from a governance point of view</w:t>
      </w:r>
      <w:r w:rsidRPr="003B4083">
        <w:rPr>
          <w:rFonts w:ascii="Verdana" w:hAnsi="Verdana" w:cs="ArialMT"/>
          <w:color w:val="183850" w:themeColor="text1"/>
          <w:sz w:val="20"/>
          <w:szCs w:val="20"/>
        </w:rPr>
        <w:t>.</w:t>
      </w:r>
      <w:r w:rsidRPr="003B4083">
        <w:rPr>
          <w:rFonts w:ascii="Verdana" w:hAnsi="Verdana" w:cs="Helvetica"/>
          <w:color w:val="183850" w:themeColor="text1"/>
          <w:sz w:val="20"/>
          <w:szCs w:val="20"/>
        </w:rPr>
        <w:t xml:space="preserve"> Cyber Risk is recognised as an area of technical complexity and Boards need to be fully aware of the risks t</w:t>
      </w:r>
      <w:r w:rsidRPr="003B4083">
        <w:rPr>
          <w:rFonts w:ascii="Verdana" w:hAnsi="Verdana" w:cs="Helvetica"/>
          <w:color w:val="183850" w:themeColor="text1"/>
          <w:sz w:val="20"/>
          <w:szCs w:val="20"/>
        </w:rPr>
        <w:t>his brings, and have the knowledge to proactively question management, and ensure the risks are being actively monitored across the organisation.</w:t>
      </w:r>
    </w:p>
    <w:p w:rsidR="00E70853" w:rsidRPr="003B4083" w:rsidRDefault="00067BC0" w:rsidP="003B4083">
      <w:pPr>
        <w:autoSpaceDE w:val="0"/>
        <w:autoSpaceDN w:val="0"/>
        <w:adjustRightInd w:val="0"/>
        <w:spacing w:after="0"/>
        <w:rPr>
          <w:rFonts w:ascii="Verdana" w:hAnsi="Verdana" w:cs="Arial"/>
          <w:color w:val="183850" w:themeColor="text1"/>
          <w:sz w:val="20"/>
          <w:szCs w:val="20"/>
          <w:u w:val="single"/>
        </w:rPr>
      </w:pPr>
    </w:p>
    <w:p w:rsidR="001A3CBB" w:rsidRPr="003B4083" w:rsidRDefault="00067BC0" w:rsidP="003B4083">
      <w:pPr>
        <w:autoSpaceDE w:val="0"/>
        <w:autoSpaceDN w:val="0"/>
        <w:adjustRightInd w:val="0"/>
        <w:spacing w:after="0"/>
        <w:rPr>
          <w:rFonts w:ascii="Verdana" w:hAnsi="Verdana" w:cs="Arial"/>
          <w:color w:val="183850" w:themeColor="text1"/>
          <w:sz w:val="20"/>
          <w:szCs w:val="20"/>
          <w:u w:val="single"/>
        </w:rPr>
      </w:pPr>
      <w:r w:rsidRPr="003B4083">
        <w:rPr>
          <w:rFonts w:ascii="Verdana" w:hAnsi="Verdana" w:cs="Arial"/>
          <w:color w:val="183850" w:themeColor="text1"/>
          <w:sz w:val="20"/>
          <w:szCs w:val="20"/>
          <w:u w:val="single"/>
        </w:rPr>
        <w:t>Approval Process for Issues-based Engagement</w:t>
      </w:r>
    </w:p>
    <w:p w:rsidR="00016924"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The meeting received a proposal formalising the process for memb</w:t>
      </w:r>
      <w:r w:rsidRPr="003B4083">
        <w:rPr>
          <w:rFonts w:ascii="Verdana" w:hAnsi="Verdana" w:cs="Arial"/>
          <w:color w:val="183850" w:themeColor="text1"/>
          <w:sz w:val="20"/>
          <w:szCs w:val="20"/>
        </w:rPr>
        <w:t xml:space="preserve">er funds being able to </w:t>
      </w:r>
      <w:r w:rsidRPr="003B4083">
        <w:rPr>
          <w:rFonts w:ascii="Verdana" w:hAnsi="Verdana" w:cs="Arial"/>
          <w:color w:val="183850" w:themeColor="text1"/>
          <w:sz w:val="20"/>
          <w:szCs w:val="20"/>
        </w:rPr>
        <w:t xml:space="preserve">make </w:t>
      </w:r>
      <w:r w:rsidRPr="003B4083">
        <w:rPr>
          <w:rFonts w:ascii="Verdana" w:hAnsi="Verdana" w:cs="Arial"/>
          <w:color w:val="183850" w:themeColor="text1"/>
          <w:sz w:val="20"/>
          <w:szCs w:val="20"/>
        </w:rPr>
        <w:t>request</w:t>
      </w:r>
      <w:r w:rsidRPr="003B4083">
        <w:rPr>
          <w:rFonts w:ascii="Verdana" w:hAnsi="Verdana" w:cs="Arial"/>
          <w:color w:val="183850" w:themeColor="text1"/>
          <w:sz w:val="20"/>
          <w:szCs w:val="20"/>
        </w:rPr>
        <w:t xml:space="preserve">s for </w:t>
      </w:r>
      <w:r w:rsidRPr="003B4083">
        <w:rPr>
          <w:rFonts w:ascii="Verdana" w:hAnsi="Verdana" w:cs="Arial"/>
          <w:color w:val="183850" w:themeColor="text1"/>
          <w:sz w:val="20"/>
          <w:szCs w:val="20"/>
        </w:rPr>
        <w:t xml:space="preserve">LAPFF </w:t>
      </w:r>
      <w:r w:rsidRPr="003B4083">
        <w:rPr>
          <w:rFonts w:ascii="Verdana" w:hAnsi="Verdana" w:cs="Arial"/>
          <w:color w:val="183850" w:themeColor="text1"/>
          <w:sz w:val="20"/>
          <w:szCs w:val="20"/>
        </w:rPr>
        <w:t xml:space="preserve">to </w:t>
      </w:r>
      <w:r w:rsidRPr="003B4083">
        <w:rPr>
          <w:rFonts w:ascii="Verdana" w:hAnsi="Verdana" w:cs="Arial"/>
          <w:color w:val="183850" w:themeColor="text1"/>
          <w:sz w:val="20"/>
          <w:szCs w:val="20"/>
        </w:rPr>
        <w:t>undertake issues based engagement</w:t>
      </w:r>
      <w:r w:rsidRPr="003B4083">
        <w:rPr>
          <w:rFonts w:ascii="Verdana" w:hAnsi="Verdana" w:cs="Arial"/>
          <w:color w:val="183850" w:themeColor="text1"/>
          <w:sz w:val="20"/>
          <w:szCs w:val="20"/>
        </w:rPr>
        <w:t xml:space="preserve"> on subject</w:t>
      </w:r>
      <w:r w:rsidRPr="003B4083">
        <w:rPr>
          <w:rFonts w:ascii="Verdana" w:hAnsi="Verdana" w:cs="Arial"/>
          <w:color w:val="183850" w:themeColor="text1"/>
          <w:sz w:val="20"/>
          <w:szCs w:val="20"/>
        </w:rPr>
        <w:t>s</w:t>
      </w:r>
      <w:r w:rsidRPr="003B4083">
        <w:rPr>
          <w:rFonts w:ascii="Verdana" w:hAnsi="Verdana" w:cs="Arial"/>
          <w:color w:val="183850" w:themeColor="text1"/>
          <w:sz w:val="20"/>
          <w:szCs w:val="20"/>
        </w:rPr>
        <w:t xml:space="preserve"> or issue</w:t>
      </w:r>
      <w:r w:rsidRPr="003B4083">
        <w:rPr>
          <w:rFonts w:ascii="Verdana" w:hAnsi="Verdana" w:cs="Arial"/>
          <w:color w:val="183850" w:themeColor="text1"/>
          <w:sz w:val="20"/>
          <w:szCs w:val="20"/>
        </w:rPr>
        <w:t>s</w:t>
      </w:r>
      <w:r w:rsidRPr="003B4083">
        <w:rPr>
          <w:rFonts w:ascii="Verdana" w:hAnsi="Verdana" w:cs="Arial"/>
          <w:color w:val="183850" w:themeColor="text1"/>
          <w:sz w:val="20"/>
          <w:szCs w:val="20"/>
        </w:rPr>
        <w:t xml:space="preserve"> they consider a priority</w:t>
      </w:r>
      <w:r w:rsidRPr="003B4083">
        <w:rPr>
          <w:rFonts w:ascii="Verdana" w:hAnsi="Verdana" w:cs="Arial"/>
          <w:color w:val="183850" w:themeColor="text1"/>
          <w:sz w:val="20"/>
          <w:szCs w:val="20"/>
        </w:rPr>
        <w:t xml:space="preserve">. </w:t>
      </w:r>
    </w:p>
    <w:p w:rsidR="00E70853" w:rsidRPr="003B4083" w:rsidRDefault="00067BC0" w:rsidP="003B4083">
      <w:pPr>
        <w:autoSpaceDE w:val="0"/>
        <w:autoSpaceDN w:val="0"/>
        <w:adjustRightInd w:val="0"/>
        <w:spacing w:after="0"/>
        <w:rPr>
          <w:rFonts w:ascii="Verdana" w:hAnsi="Verdana" w:cs="Arial"/>
          <w:color w:val="183850" w:themeColor="text1"/>
          <w:sz w:val="20"/>
          <w:szCs w:val="20"/>
        </w:rPr>
      </w:pPr>
    </w:p>
    <w:p w:rsidR="00705972" w:rsidRPr="003B4083" w:rsidRDefault="00067BC0" w:rsidP="003B4083">
      <w:pPr>
        <w:autoSpaceDE w:val="0"/>
        <w:autoSpaceDN w:val="0"/>
        <w:adjustRightInd w:val="0"/>
        <w:spacing w:after="0"/>
        <w:rPr>
          <w:rFonts w:ascii="Verdana" w:hAnsi="Verdana" w:cs="Arial"/>
          <w:b/>
          <w:color w:val="183850" w:themeColor="text1"/>
          <w:sz w:val="20"/>
          <w:szCs w:val="20"/>
        </w:rPr>
      </w:pPr>
      <w:r w:rsidRPr="003B4083">
        <w:rPr>
          <w:rFonts w:ascii="Verdana" w:hAnsi="Verdana" w:cs="Arial"/>
          <w:b/>
          <w:color w:val="183850" w:themeColor="text1"/>
          <w:sz w:val="20"/>
          <w:szCs w:val="20"/>
        </w:rPr>
        <w:t xml:space="preserve">UK Pension Fund Responsible Investment </w:t>
      </w:r>
      <w:r w:rsidRPr="003B4083">
        <w:rPr>
          <w:rFonts w:ascii="Verdana" w:hAnsi="Verdana" w:cs="Arial"/>
          <w:b/>
          <w:color w:val="183850" w:themeColor="text1"/>
          <w:sz w:val="20"/>
          <w:szCs w:val="20"/>
        </w:rPr>
        <w:t>Roundtable</w:t>
      </w:r>
    </w:p>
    <w:p w:rsidR="00EC3178"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This </w:t>
      </w:r>
      <w:r w:rsidRPr="003B4083">
        <w:rPr>
          <w:rFonts w:ascii="Verdana" w:hAnsi="Verdana" w:cs="Arial"/>
          <w:color w:val="183850" w:themeColor="text1"/>
          <w:sz w:val="20"/>
          <w:szCs w:val="20"/>
        </w:rPr>
        <w:t xml:space="preserve">collaborative group </w:t>
      </w:r>
      <w:r w:rsidRPr="003B4083">
        <w:rPr>
          <w:rFonts w:ascii="Verdana" w:hAnsi="Verdana" w:cs="Arial"/>
          <w:color w:val="183850" w:themeColor="text1"/>
          <w:sz w:val="20"/>
          <w:szCs w:val="20"/>
        </w:rPr>
        <w:t>invol</w:t>
      </w:r>
      <w:r w:rsidRPr="003B4083">
        <w:rPr>
          <w:rFonts w:ascii="Verdana" w:hAnsi="Verdana" w:cs="Arial"/>
          <w:color w:val="183850" w:themeColor="text1"/>
          <w:sz w:val="20"/>
          <w:szCs w:val="20"/>
        </w:rPr>
        <w:t>v</w:t>
      </w:r>
      <w:r w:rsidRPr="003B4083">
        <w:rPr>
          <w:rFonts w:ascii="Verdana" w:hAnsi="Verdana" w:cs="Arial"/>
          <w:color w:val="183850" w:themeColor="text1"/>
          <w:sz w:val="20"/>
          <w:szCs w:val="20"/>
        </w:rPr>
        <w:t xml:space="preserve">es some of the </w:t>
      </w:r>
      <w:r w:rsidRPr="003B4083">
        <w:rPr>
          <w:rFonts w:ascii="Verdana" w:hAnsi="Verdana" w:cs="Arial"/>
          <w:color w:val="183850" w:themeColor="text1"/>
          <w:sz w:val="20"/>
          <w:szCs w:val="20"/>
        </w:rPr>
        <w:t>larg</w:t>
      </w:r>
      <w:r w:rsidRPr="003B4083">
        <w:rPr>
          <w:rFonts w:ascii="Verdana" w:hAnsi="Verdana" w:cs="Arial"/>
          <w:color w:val="183850" w:themeColor="text1"/>
          <w:sz w:val="20"/>
          <w:szCs w:val="20"/>
        </w:rPr>
        <w:t xml:space="preserve">est pension funds in </w:t>
      </w:r>
      <w:r w:rsidRPr="003B4083">
        <w:rPr>
          <w:rFonts w:ascii="Verdana" w:hAnsi="Verdana" w:cs="Arial"/>
          <w:color w:val="183850" w:themeColor="text1"/>
          <w:sz w:val="20"/>
          <w:szCs w:val="20"/>
        </w:rPr>
        <w:t>the UK</w:t>
      </w:r>
      <w:r w:rsidRPr="003B4083">
        <w:rPr>
          <w:rFonts w:ascii="Verdana" w:hAnsi="Verdana" w:cs="Arial"/>
          <w:color w:val="183850" w:themeColor="text1"/>
          <w:sz w:val="20"/>
          <w:szCs w:val="20"/>
        </w:rPr>
        <w:t xml:space="preserve"> and </w:t>
      </w:r>
      <w:r w:rsidRPr="003B4083">
        <w:rPr>
          <w:rFonts w:ascii="Verdana" w:hAnsi="Verdana" w:cs="Arial"/>
          <w:color w:val="183850" w:themeColor="text1"/>
          <w:sz w:val="20"/>
          <w:szCs w:val="20"/>
        </w:rPr>
        <w:t>i</w:t>
      </w:r>
      <w:r w:rsidRPr="003B4083">
        <w:rPr>
          <w:rFonts w:ascii="Verdana" w:hAnsi="Verdana" w:cs="Arial"/>
          <w:color w:val="183850" w:themeColor="text1"/>
          <w:sz w:val="20"/>
          <w:szCs w:val="20"/>
        </w:rPr>
        <w:t xml:space="preserve">s a forum for investors to </w:t>
      </w:r>
      <w:r w:rsidRPr="003B4083">
        <w:rPr>
          <w:rFonts w:ascii="Verdana" w:hAnsi="Verdana" w:cs="Arial"/>
          <w:color w:val="183850" w:themeColor="text1"/>
          <w:sz w:val="20"/>
          <w:szCs w:val="20"/>
        </w:rPr>
        <w:t xml:space="preserve">work together </w:t>
      </w:r>
      <w:r w:rsidRPr="003B4083">
        <w:rPr>
          <w:rFonts w:ascii="Verdana" w:hAnsi="Verdana" w:cs="Arial"/>
          <w:color w:val="183850" w:themeColor="text1"/>
          <w:sz w:val="20"/>
          <w:szCs w:val="20"/>
        </w:rPr>
        <w:t>on</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responsible investment </w:t>
      </w:r>
      <w:r w:rsidRPr="003B4083">
        <w:rPr>
          <w:rFonts w:ascii="Verdana" w:hAnsi="Verdana" w:cs="Arial"/>
          <w:color w:val="183850" w:themeColor="text1"/>
          <w:sz w:val="20"/>
          <w:szCs w:val="20"/>
        </w:rPr>
        <w:t xml:space="preserve">matters as part of </w:t>
      </w:r>
      <w:r w:rsidRPr="003B4083">
        <w:rPr>
          <w:rFonts w:ascii="Verdana" w:hAnsi="Verdana" w:cs="Arial"/>
          <w:color w:val="183850" w:themeColor="text1"/>
          <w:sz w:val="20"/>
          <w:szCs w:val="20"/>
        </w:rPr>
        <w:t xml:space="preserve">regularly </w:t>
      </w:r>
      <w:r w:rsidRPr="003B4083">
        <w:rPr>
          <w:rFonts w:ascii="Verdana" w:hAnsi="Verdana" w:cs="Arial"/>
          <w:color w:val="183850" w:themeColor="text1"/>
          <w:sz w:val="20"/>
          <w:szCs w:val="20"/>
        </w:rPr>
        <w:t>sharing</w:t>
      </w:r>
      <w:r w:rsidRPr="003B4083">
        <w:rPr>
          <w:rFonts w:ascii="Verdana" w:hAnsi="Verdana" w:cs="Arial"/>
          <w:color w:val="183850" w:themeColor="text1"/>
          <w:sz w:val="20"/>
          <w:szCs w:val="20"/>
        </w:rPr>
        <w:t xml:space="preserve"> insight and resources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Attention focusses on issues </w:t>
      </w:r>
      <w:r w:rsidRPr="003B4083">
        <w:rPr>
          <w:rFonts w:ascii="Verdana" w:hAnsi="Verdana" w:cs="Arial"/>
          <w:color w:val="183850" w:themeColor="text1"/>
          <w:sz w:val="20"/>
          <w:szCs w:val="20"/>
        </w:rPr>
        <w:t xml:space="preserve">identified as priorities </w:t>
      </w:r>
      <w:r w:rsidRPr="003B4083">
        <w:rPr>
          <w:rFonts w:ascii="Verdana" w:hAnsi="Verdana" w:cs="Arial"/>
          <w:color w:val="183850" w:themeColor="text1"/>
          <w:sz w:val="20"/>
          <w:szCs w:val="20"/>
        </w:rPr>
        <w:t xml:space="preserve">by group members, </w:t>
      </w:r>
      <w:r w:rsidRPr="003B4083">
        <w:rPr>
          <w:rFonts w:ascii="Verdana" w:hAnsi="Verdana" w:cs="Arial"/>
          <w:color w:val="183850" w:themeColor="text1"/>
          <w:sz w:val="20"/>
          <w:szCs w:val="20"/>
        </w:rPr>
        <w:t>an</w:t>
      </w:r>
      <w:r w:rsidRPr="003B4083">
        <w:rPr>
          <w:rFonts w:ascii="Verdana" w:hAnsi="Verdana" w:cs="Arial"/>
          <w:color w:val="183850" w:themeColor="text1"/>
          <w:sz w:val="20"/>
          <w:szCs w:val="20"/>
        </w:rPr>
        <w:t xml:space="preserve"> approach </w:t>
      </w:r>
      <w:r w:rsidRPr="003B4083">
        <w:rPr>
          <w:rFonts w:ascii="Verdana" w:hAnsi="Verdana" w:cs="Arial"/>
          <w:color w:val="183850" w:themeColor="text1"/>
          <w:sz w:val="20"/>
          <w:szCs w:val="20"/>
        </w:rPr>
        <w:t xml:space="preserve">which </w:t>
      </w:r>
      <w:r w:rsidRPr="003B4083">
        <w:rPr>
          <w:rFonts w:ascii="Verdana" w:hAnsi="Verdana" w:cs="Arial"/>
          <w:color w:val="183850" w:themeColor="text1"/>
          <w:sz w:val="20"/>
          <w:szCs w:val="20"/>
        </w:rPr>
        <w:t>enables funds to collabora</w:t>
      </w:r>
      <w:r w:rsidRPr="003B4083">
        <w:rPr>
          <w:rFonts w:ascii="Verdana" w:hAnsi="Verdana" w:cs="Arial"/>
          <w:color w:val="183850" w:themeColor="text1"/>
          <w:sz w:val="20"/>
          <w:szCs w:val="20"/>
        </w:rPr>
        <w:t>te informally</w:t>
      </w:r>
      <w:r w:rsidRPr="003B4083">
        <w:rPr>
          <w:rFonts w:ascii="Verdana" w:hAnsi="Verdana" w:cs="Arial"/>
          <w:color w:val="183850" w:themeColor="text1"/>
          <w:sz w:val="20"/>
          <w:szCs w:val="20"/>
        </w:rPr>
        <w:t xml:space="preserve"> with one another</w:t>
      </w:r>
      <w:r w:rsidRPr="003B4083">
        <w:rPr>
          <w:rFonts w:ascii="Verdana" w:hAnsi="Verdana" w:cs="Arial"/>
          <w:color w:val="183850" w:themeColor="text1"/>
          <w:sz w:val="20"/>
          <w:szCs w:val="20"/>
        </w:rPr>
        <w:t xml:space="preserve"> by agreement</w:t>
      </w:r>
      <w:r w:rsidRPr="003B4083">
        <w:rPr>
          <w:rFonts w:ascii="Verdana" w:hAnsi="Verdana" w:cs="Arial"/>
          <w:color w:val="183850" w:themeColor="text1"/>
          <w:sz w:val="20"/>
          <w:szCs w:val="20"/>
        </w:rPr>
        <w:t xml:space="preserve">. In addition themes </w:t>
      </w:r>
      <w:r w:rsidRPr="003B4083">
        <w:rPr>
          <w:rFonts w:ascii="Verdana" w:hAnsi="Verdana" w:cs="Arial"/>
          <w:color w:val="183850" w:themeColor="text1"/>
          <w:sz w:val="20"/>
          <w:szCs w:val="20"/>
        </w:rPr>
        <w:t xml:space="preserve">arise </w:t>
      </w:r>
      <w:r w:rsidRPr="003B4083">
        <w:rPr>
          <w:rFonts w:ascii="Verdana" w:hAnsi="Verdana" w:cs="Arial"/>
          <w:color w:val="183850" w:themeColor="text1"/>
          <w:sz w:val="20"/>
          <w:szCs w:val="20"/>
        </w:rPr>
        <w:t xml:space="preserve">on which </w:t>
      </w:r>
      <w:r w:rsidRPr="003B4083">
        <w:rPr>
          <w:rFonts w:ascii="Verdana" w:hAnsi="Verdana" w:cs="Arial"/>
          <w:color w:val="183850" w:themeColor="text1"/>
          <w:sz w:val="20"/>
          <w:szCs w:val="20"/>
        </w:rPr>
        <w:t>a larger</w:t>
      </w:r>
      <w:r w:rsidRPr="003B4083">
        <w:rPr>
          <w:rFonts w:ascii="Verdana" w:hAnsi="Verdana" w:cs="Arial"/>
          <w:color w:val="183850" w:themeColor="text1"/>
          <w:sz w:val="20"/>
          <w:szCs w:val="20"/>
        </w:rPr>
        <w:t xml:space="preserve"> group</w:t>
      </w:r>
      <w:r w:rsidRPr="003B4083">
        <w:rPr>
          <w:rFonts w:ascii="Verdana" w:hAnsi="Verdana" w:cs="Arial"/>
          <w:color w:val="183850" w:themeColor="text1"/>
          <w:sz w:val="20"/>
          <w:szCs w:val="20"/>
        </w:rPr>
        <w:t xml:space="preserve"> of investors</w:t>
      </w:r>
      <w:r w:rsidRPr="003B4083">
        <w:rPr>
          <w:rFonts w:ascii="Verdana" w:hAnsi="Verdana" w:cs="Arial"/>
          <w:color w:val="183850" w:themeColor="text1"/>
          <w:sz w:val="20"/>
          <w:szCs w:val="20"/>
        </w:rPr>
        <w:t xml:space="preserve"> may </w:t>
      </w:r>
      <w:r w:rsidRPr="003B4083">
        <w:rPr>
          <w:rFonts w:ascii="Verdana" w:hAnsi="Verdana" w:cs="Arial"/>
          <w:color w:val="183850" w:themeColor="text1"/>
          <w:sz w:val="20"/>
          <w:szCs w:val="20"/>
        </w:rPr>
        <w:t>agree</w:t>
      </w:r>
      <w:r w:rsidRPr="003B4083">
        <w:rPr>
          <w:rFonts w:ascii="Verdana" w:hAnsi="Verdana" w:cs="Arial"/>
          <w:color w:val="183850" w:themeColor="text1"/>
          <w:sz w:val="20"/>
          <w:szCs w:val="20"/>
        </w:rPr>
        <w:t xml:space="preserve"> to collaborate </w:t>
      </w:r>
      <w:r w:rsidRPr="003B4083">
        <w:rPr>
          <w:rFonts w:ascii="Verdana" w:hAnsi="Verdana" w:cs="Arial"/>
          <w:color w:val="183850" w:themeColor="text1"/>
          <w:sz w:val="20"/>
          <w:szCs w:val="20"/>
        </w:rPr>
        <w:t xml:space="preserve">formally </w:t>
      </w:r>
      <w:r w:rsidRPr="003B4083">
        <w:rPr>
          <w:rFonts w:ascii="Verdana" w:hAnsi="Verdana" w:cs="Arial"/>
          <w:color w:val="183850" w:themeColor="text1"/>
          <w:sz w:val="20"/>
          <w:szCs w:val="20"/>
        </w:rPr>
        <w:t xml:space="preserve">in order </w:t>
      </w:r>
      <w:r w:rsidRPr="003B4083">
        <w:rPr>
          <w:rFonts w:ascii="Verdana" w:hAnsi="Verdana" w:cs="Arial"/>
          <w:color w:val="183850" w:themeColor="text1"/>
          <w:sz w:val="20"/>
          <w:szCs w:val="20"/>
        </w:rPr>
        <w:t>to</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exert collective</w:t>
      </w:r>
      <w:r w:rsidRPr="003B4083">
        <w:rPr>
          <w:rFonts w:ascii="Verdana" w:hAnsi="Verdana" w:cs="Arial"/>
          <w:color w:val="183850" w:themeColor="text1"/>
          <w:sz w:val="20"/>
          <w:szCs w:val="20"/>
        </w:rPr>
        <w:t xml:space="preserve"> joint influence</w:t>
      </w:r>
      <w:r w:rsidRPr="003B4083">
        <w:rPr>
          <w:rFonts w:ascii="Verdana" w:hAnsi="Verdana" w:cs="Arial"/>
          <w:color w:val="183850" w:themeColor="text1"/>
          <w:sz w:val="20"/>
          <w:szCs w:val="20"/>
        </w:rPr>
        <w:t xml:space="preserve"> as </w:t>
      </w:r>
      <w:r w:rsidRPr="003B4083">
        <w:rPr>
          <w:rFonts w:ascii="Verdana" w:hAnsi="Verdana" w:cs="Arial"/>
          <w:color w:val="183850" w:themeColor="text1"/>
          <w:sz w:val="20"/>
          <w:szCs w:val="20"/>
        </w:rPr>
        <w:t xml:space="preserve">responsible </w:t>
      </w:r>
      <w:r w:rsidRPr="003B4083">
        <w:rPr>
          <w:rFonts w:ascii="Verdana" w:hAnsi="Verdana" w:cs="Arial"/>
          <w:color w:val="183850" w:themeColor="text1"/>
          <w:sz w:val="20"/>
          <w:szCs w:val="20"/>
        </w:rPr>
        <w:t>asset owners</w:t>
      </w:r>
      <w:r w:rsidRPr="003B4083">
        <w:rPr>
          <w:rFonts w:ascii="Verdana" w:hAnsi="Verdana" w:cs="Arial"/>
          <w:color w:val="183850" w:themeColor="text1"/>
          <w:sz w:val="20"/>
          <w:szCs w:val="20"/>
        </w:rPr>
        <w:t xml:space="preserve">. </w:t>
      </w:r>
    </w:p>
    <w:p w:rsidR="0044001A" w:rsidRPr="003B4083" w:rsidRDefault="00067BC0" w:rsidP="003B4083">
      <w:pPr>
        <w:autoSpaceDE w:val="0"/>
        <w:autoSpaceDN w:val="0"/>
        <w:adjustRightInd w:val="0"/>
        <w:spacing w:after="0"/>
        <w:rPr>
          <w:rFonts w:ascii="Verdana" w:hAnsi="Verdana" w:cs="Arial"/>
          <w:color w:val="183850" w:themeColor="text1"/>
          <w:sz w:val="20"/>
          <w:szCs w:val="20"/>
        </w:rPr>
      </w:pPr>
    </w:p>
    <w:p w:rsidR="00CC5406"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During the last quarter attention has focussed </w:t>
      </w:r>
      <w:r w:rsidRPr="003B4083">
        <w:rPr>
          <w:rFonts w:ascii="Verdana" w:hAnsi="Verdana" w:cs="Arial"/>
          <w:color w:val="183850" w:themeColor="text1"/>
          <w:sz w:val="20"/>
          <w:szCs w:val="20"/>
        </w:rPr>
        <w:t xml:space="preserve">on </w:t>
      </w:r>
      <w:r w:rsidRPr="003B4083">
        <w:rPr>
          <w:rFonts w:ascii="Verdana" w:hAnsi="Verdana" w:cs="Arial"/>
          <w:color w:val="183850" w:themeColor="text1"/>
          <w:sz w:val="20"/>
          <w:szCs w:val="20"/>
        </w:rPr>
        <w:t>a</w:t>
      </w:r>
      <w:r w:rsidRPr="003B4083">
        <w:rPr>
          <w:rFonts w:ascii="Verdana" w:hAnsi="Verdana" w:cs="Arial"/>
          <w:color w:val="183850" w:themeColor="text1"/>
          <w:sz w:val="20"/>
          <w:szCs w:val="20"/>
        </w:rPr>
        <w:t xml:space="preserve"> joint </w:t>
      </w:r>
      <w:r w:rsidRPr="003B4083">
        <w:rPr>
          <w:rFonts w:ascii="Verdana" w:hAnsi="Verdana" w:cs="Arial"/>
          <w:color w:val="183850" w:themeColor="text1"/>
          <w:sz w:val="20"/>
          <w:szCs w:val="20"/>
        </w:rPr>
        <w:t>engagement with</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large asset management firms</w:t>
      </w:r>
      <w:r w:rsidRPr="003B4083">
        <w:rPr>
          <w:rFonts w:ascii="Verdana" w:hAnsi="Verdana" w:cs="Arial"/>
          <w:color w:val="183850" w:themeColor="text1"/>
          <w:sz w:val="20"/>
          <w:szCs w:val="20"/>
        </w:rPr>
        <w:t xml:space="preserve"> who did not support climate resilience resolutions </w:t>
      </w:r>
      <w:r w:rsidRPr="003B4083">
        <w:rPr>
          <w:rFonts w:ascii="Verdana" w:hAnsi="Verdana" w:cs="Arial"/>
          <w:color w:val="183850" w:themeColor="text1"/>
          <w:sz w:val="20"/>
          <w:szCs w:val="20"/>
        </w:rPr>
        <w:t xml:space="preserve">consistently </w:t>
      </w:r>
      <w:r w:rsidRPr="003B4083">
        <w:rPr>
          <w:rFonts w:ascii="Verdana" w:hAnsi="Verdana" w:cs="Arial"/>
          <w:color w:val="183850" w:themeColor="text1"/>
          <w:sz w:val="20"/>
          <w:szCs w:val="20"/>
        </w:rPr>
        <w:t xml:space="preserve">during the 2016 proxy voting season.   </w:t>
      </w:r>
      <w:r w:rsidRPr="003B4083">
        <w:rPr>
          <w:rFonts w:ascii="Verdana" w:hAnsi="Verdana" w:cs="Arial"/>
          <w:color w:val="183850" w:themeColor="text1"/>
          <w:sz w:val="20"/>
          <w:szCs w:val="20"/>
        </w:rPr>
        <w:t xml:space="preserve">LPP participated in </w:t>
      </w:r>
      <w:r w:rsidRPr="003B4083">
        <w:rPr>
          <w:rFonts w:ascii="Verdana" w:hAnsi="Verdana" w:cs="Arial"/>
          <w:color w:val="183850" w:themeColor="text1"/>
          <w:sz w:val="20"/>
          <w:szCs w:val="20"/>
        </w:rPr>
        <w:t>a</w:t>
      </w:r>
      <w:r w:rsidRPr="003B4083">
        <w:rPr>
          <w:rFonts w:ascii="Verdana" w:hAnsi="Verdana" w:cs="Arial"/>
          <w:color w:val="183850" w:themeColor="text1"/>
          <w:sz w:val="20"/>
          <w:szCs w:val="20"/>
        </w:rPr>
        <w:t xml:space="preserve"> joint engagement </w:t>
      </w:r>
      <w:r w:rsidRPr="003B4083">
        <w:rPr>
          <w:rFonts w:ascii="Verdana" w:hAnsi="Verdana" w:cs="Arial"/>
          <w:color w:val="183850" w:themeColor="text1"/>
          <w:sz w:val="20"/>
          <w:szCs w:val="20"/>
        </w:rPr>
        <w:t xml:space="preserve">which focussed on </w:t>
      </w:r>
      <w:r w:rsidRPr="003B4083">
        <w:rPr>
          <w:rFonts w:ascii="Verdana" w:hAnsi="Verdana" w:cs="Arial"/>
          <w:color w:val="183850" w:themeColor="text1"/>
          <w:sz w:val="20"/>
          <w:szCs w:val="20"/>
        </w:rPr>
        <w:t xml:space="preserve">clarifying how managers integrate </w:t>
      </w:r>
      <w:r w:rsidRPr="003B4083">
        <w:rPr>
          <w:rFonts w:ascii="Verdana" w:hAnsi="Verdana" w:cs="Arial"/>
          <w:color w:val="183850" w:themeColor="text1"/>
          <w:sz w:val="20"/>
          <w:szCs w:val="20"/>
        </w:rPr>
        <w:t xml:space="preserve">environmental, social and governance considerations into voting practices and </w:t>
      </w:r>
      <w:r w:rsidRPr="003B4083">
        <w:rPr>
          <w:rFonts w:ascii="Verdana" w:hAnsi="Verdana" w:cs="Arial"/>
          <w:color w:val="183850" w:themeColor="text1"/>
          <w:sz w:val="20"/>
          <w:szCs w:val="20"/>
        </w:rPr>
        <w:t xml:space="preserve">the extent to which they are </w:t>
      </w:r>
      <w:r w:rsidRPr="003B4083">
        <w:rPr>
          <w:rFonts w:ascii="Verdana" w:hAnsi="Verdana" w:cs="Arial"/>
          <w:color w:val="183850" w:themeColor="text1"/>
          <w:sz w:val="20"/>
          <w:szCs w:val="20"/>
        </w:rPr>
        <w:t xml:space="preserve">using engagement to encourage companies </w:t>
      </w:r>
      <w:r w:rsidRPr="003B4083">
        <w:rPr>
          <w:rFonts w:ascii="Verdana" w:hAnsi="Verdana" w:cs="Arial"/>
          <w:color w:val="183850" w:themeColor="text1"/>
          <w:sz w:val="20"/>
          <w:szCs w:val="20"/>
        </w:rPr>
        <w:t>in</w:t>
      </w:r>
      <w:r w:rsidRPr="003B4083">
        <w:rPr>
          <w:rFonts w:ascii="Verdana" w:hAnsi="Verdana" w:cs="Arial"/>
          <w:color w:val="183850" w:themeColor="text1"/>
          <w:sz w:val="20"/>
          <w:szCs w:val="20"/>
        </w:rPr>
        <w:t xml:space="preserve">to </w:t>
      </w:r>
      <w:r w:rsidRPr="003B4083">
        <w:rPr>
          <w:rFonts w:ascii="Verdana" w:hAnsi="Verdana" w:cs="Arial"/>
          <w:color w:val="183850" w:themeColor="text1"/>
          <w:sz w:val="20"/>
          <w:szCs w:val="20"/>
        </w:rPr>
        <w:t xml:space="preserve">greater </w:t>
      </w:r>
      <w:r w:rsidRPr="003B4083">
        <w:rPr>
          <w:rFonts w:ascii="Verdana" w:hAnsi="Verdana" w:cs="Arial"/>
          <w:color w:val="183850" w:themeColor="text1"/>
          <w:sz w:val="20"/>
          <w:szCs w:val="20"/>
        </w:rPr>
        <w:t xml:space="preserve">disclose </w:t>
      </w:r>
      <w:r w:rsidRPr="003B4083">
        <w:rPr>
          <w:rFonts w:ascii="Verdana" w:hAnsi="Verdana" w:cs="Arial"/>
          <w:color w:val="183850" w:themeColor="text1"/>
          <w:sz w:val="20"/>
          <w:szCs w:val="20"/>
        </w:rPr>
        <w:t xml:space="preserve">on </w:t>
      </w:r>
      <w:r w:rsidRPr="003B4083">
        <w:rPr>
          <w:rFonts w:ascii="Verdana" w:hAnsi="Verdana" w:cs="Arial"/>
          <w:color w:val="183850" w:themeColor="text1"/>
          <w:sz w:val="20"/>
          <w:szCs w:val="20"/>
        </w:rPr>
        <w:t>how they are planning f</w:t>
      </w:r>
      <w:r w:rsidRPr="003B4083">
        <w:rPr>
          <w:rFonts w:ascii="Verdana" w:hAnsi="Verdana" w:cs="Arial"/>
          <w:color w:val="183850" w:themeColor="text1"/>
          <w:sz w:val="20"/>
          <w:szCs w:val="20"/>
        </w:rPr>
        <w:t>or the im</w:t>
      </w:r>
      <w:r w:rsidRPr="003B4083">
        <w:rPr>
          <w:rFonts w:ascii="Verdana" w:hAnsi="Verdana" w:cs="Arial"/>
          <w:color w:val="183850" w:themeColor="text1"/>
          <w:sz w:val="20"/>
          <w:szCs w:val="20"/>
        </w:rPr>
        <w:t>pact climate change on their business</w:t>
      </w:r>
      <w:r w:rsidRPr="003B4083">
        <w:rPr>
          <w:rFonts w:ascii="Verdana" w:hAnsi="Verdana" w:cs="Arial"/>
          <w:color w:val="183850" w:themeColor="text1"/>
          <w:sz w:val="20"/>
          <w:szCs w:val="20"/>
        </w:rPr>
        <w:t xml:space="preserve"> future</w:t>
      </w:r>
      <w:r w:rsidRPr="003B4083">
        <w:rPr>
          <w:rFonts w:ascii="Verdana" w:hAnsi="Verdana" w:cs="Arial"/>
          <w:color w:val="183850" w:themeColor="text1"/>
          <w:sz w:val="20"/>
          <w:szCs w:val="20"/>
        </w:rPr>
        <w:t>.</w:t>
      </w:r>
    </w:p>
    <w:p w:rsidR="00580884" w:rsidRDefault="00067BC0" w:rsidP="003B4083">
      <w:pPr>
        <w:autoSpaceDE w:val="0"/>
        <w:autoSpaceDN w:val="0"/>
        <w:adjustRightInd w:val="0"/>
        <w:spacing w:after="0"/>
        <w:rPr>
          <w:rFonts w:ascii="Verdana" w:hAnsi="Verdana" w:cs="Arial"/>
          <w:b/>
          <w:color w:val="183850" w:themeColor="text1"/>
          <w:sz w:val="20"/>
          <w:szCs w:val="20"/>
        </w:rPr>
      </w:pPr>
    </w:p>
    <w:p w:rsidR="00771BC9" w:rsidRPr="003B4083" w:rsidRDefault="00067BC0" w:rsidP="003B4083">
      <w:pPr>
        <w:autoSpaceDE w:val="0"/>
        <w:autoSpaceDN w:val="0"/>
        <w:adjustRightInd w:val="0"/>
        <w:spacing w:after="0"/>
        <w:rPr>
          <w:rFonts w:ascii="Verdana" w:hAnsi="Verdana" w:cs="Arial"/>
          <w:b/>
          <w:color w:val="183850" w:themeColor="text1"/>
          <w:sz w:val="20"/>
          <w:szCs w:val="20"/>
        </w:rPr>
      </w:pPr>
      <w:r w:rsidRPr="003B4083">
        <w:rPr>
          <w:rFonts w:ascii="Verdana" w:hAnsi="Verdana" w:cs="Arial"/>
          <w:b/>
          <w:color w:val="183850" w:themeColor="text1"/>
          <w:sz w:val="20"/>
          <w:szCs w:val="20"/>
        </w:rPr>
        <w:t xml:space="preserve">Transition Pathway Initiative </w:t>
      </w:r>
    </w:p>
    <w:p w:rsidR="0084162E" w:rsidRPr="003B4083" w:rsidRDefault="00067BC0" w:rsidP="003B4083">
      <w:pPr>
        <w:spacing w:after="0"/>
        <w:rPr>
          <w:rFonts w:ascii="Verdana" w:hAnsi="Verdana"/>
          <w:color w:val="183850" w:themeColor="text1"/>
          <w:sz w:val="20"/>
          <w:szCs w:val="20"/>
        </w:rPr>
      </w:pPr>
      <w:r w:rsidRPr="003B4083">
        <w:rPr>
          <w:rFonts w:ascii="Verdana" w:hAnsi="Verdana" w:cs="Arial"/>
          <w:color w:val="183850" w:themeColor="text1"/>
          <w:sz w:val="20"/>
          <w:szCs w:val="20"/>
        </w:rPr>
        <w:t xml:space="preserve">LPP has become a named supporter of the Transition Pathway Initiative (TPI). </w:t>
      </w:r>
      <w:r w:rsidRPr="003B4083">
        <w:rPr>
          <w:rFonts w:ascii="Verdana" w:hAnsi="Verdana"/>
          <w:color w:val="183850" w:themeColor="text1"/>
          <w:sz w:val="20"/>
          <w:szCs w:val="20"/>
        </w:rPr>
        <w:t>The TPI is an asset owner-led initiative resourced by the London School of Economics and the Grantham Institute which is designed to define what the transition to low carbon looks like for companies in high-impact sectors such as oil and gas, mining and el</w:t>
      </w:r>
      <w:r w:rsidRPr="003B4083">
        <w:rPr>
          <w:rFonts w:ascii="Verdana" w:hAnsi="Verdana"/>
          <w:color w:val="183850" w:themeColor="text1"/>
          <w:sz w:val="20"/>
          <w:szCs w:val="20"/>
        </w:rPr>
        <w:t xml:space="preserve">ectricity generation.  </w:t>
      </w:r>
    </w:p>
    <w:p w:rsidR="00831F8D" w:rsidRPr="003B4083" w:rsidRDefault="00067BC0" w:rsidP="003B4083">
      <w:pPr>
        <w:spacing w:after="0"/>
        <w:rPr>
          <w:rFonts w:ascii="Verdana" w:hAnsi="Verdana"/>
          <w:color w:val="183850" w:themeColor="text1"/>
          <w:sz w:val="20"/>
          <w:szCs w:val="20"/>
        </w:rPr>
      </w:pPr>
    </w:p>
    <w:p w:rsidR="0084162E" w:rsidRPr="003B4083" w:rsidRDefault="00067BC0" w:rsidP="003B4083">
      <w:pPr>
        <w:spacing w:after="0"/>
        <w:rPr>
          <w:rFonts w:ascii="Verdana" w:hAnsi="Verdana"/>
          <w:color w:val="183850" w:themeColor="text1"/>
          <w:sz w:val="20"/>
          <w:szCs w:val="20"/>
        </w:rPr>
      </w:pPr>
      <w:r w:rsidRPr="003B4083">
        <w:rPr>
          <w:rFonts w:ascii="Verdana" w:hAnsi="Verdana"/>
          <w:color w:val="183850" w:themeColor="text1"/>
          <w:sz w:val="20"/>
          <w:szCs w:val="20"/>
        </w:rPr>
        <w:t>The TPI</w:t>
      </w:r>
    </w:p>
    <w:p w:rsidR="0084162E" w:rsidRPr="003B4083" w:rsidRDefault="00067BC0" w:rsidP="003B4083">
      <w:pPr>
        <w:pStyle w:val="ListParagraph"/>
        <w:numPr>
          <w:ilvl w:val="0"/>
          <w:numId w:val="15"/>
        </w:numPr>
        <w:shd w:val="clear" w:color="auto" w:fill="FFFFFF"/>
        <w:tabs>
          <w:tab w:val="num" w:pos="284"/>
        </w:tabs>
        <w:spacing w:after="0" w:line="240" w:lineRule="auto"/>
        <w:ind w:left="0" w:firstLine="0"/>
        <w:rPr>
          <w:rFonts w:ascii="Verdana" w:hAnsi="Verdana" w:cs="Arial"/>
          <w:color w:val="183850" w:themeColor="text1"/>
          <w:sz w:val="20"/>
          <w:szCs w:val="20"/>
          <w:lang w:val="en-US"/>
        </w:rPr>
      </w:pPr>
      <w:r w:rsidRPr="003B4083">
        <w:rPr>
          <w:rFonts w:ascii="Verdana" w:hAnsi="Verdana" w:cs="Arial"/>
          <w:color w:val="183850" w:themeColor="text1"/>
          <w:sz w:val="20"/>
          <w:szCs w:val="20"/>
          <w:lang w:val="en-US"/>
        </w:rPr>
        <w:t>Evaluates and tracks the quality of companies’ management of their greenhouse gas emissions and of risks and opportunities relat</w:t>
      </w:r>
      <w:r w:rsidRPr="003B4083">
        <w:rPr>
          <w:rFonts w:ascii="Verdana" w:hAnsi="Verdana" w:cs="Arial"/>
          <w:color w:val="183850" w:themeColor="text1"/>
          <w:sz w:val="20"/>
          <w:szCs w:val="20"/>
          <w:lang w:val="en-US"/>
        </w:rPr>
        <w:t>ed to the low-carbon transition;</w:t>
      </w:r>
    </w:p>
    <w:p w:rsidR="0084162E" w:rsidRPr="003B4083" w:rsidRDefault="00067BC0" w:rsidP="003B4083">
      <w:pPr>
        <w:pStyle w:val="ListParagraph"/>
        <w:numPr>
          <w:ilvl w:val="0"/>
          <w:numId w:val="15"/>
        </w:numPr>
        <w:shd w:val="clear" w:color="auto" w:fill="FFFFFF"/>
        <w:tabs>
          <w:tab w:val="num" w:pos="284"/>
        </w:tabs>
        <w:spacing w:after="0" w:line="240" w:lineRule="auto"/>
        <w:ind w:left="0" w:firstLine="0"/>
        <w:rPr>
          <w:rFonts w:ascii="Verdana" w:hAnsi="Verdana" w:cs="Arial"/>
          <w:color w:val="183850" w:themeColor="text1"/>
          <w:sz w:val="20"/>
          <w:szCs w:val="20"/>
          <w:lang w:val="en-US"/>
        </w:rPr>
      </w:pPr>
      <w:r w:rsidRPr="003B4083">
        <w:rPr>
          <w:rFonts w:ascii="Verdana" w:hAnsi="Verdana" w:cs="Arial"/>
          <w:color w:val="183850" w:themeColor="text1"/>
          <w:sz w:val="20"/>
          <w:szCs w:val="20"/>
          <w:lang w:val="en-US"/>
        </w:rPr>
        <w:t>Evaluates how companies’ future carbon performance would compa</w:t>
      </w:r>
      <w:r w:rsidRPr="003B4083">
        <w:rPr>
          <w:rFonts w:ascii="Verdana" w:hAnsi="Verdana" w:cs="Arial"/>
          <w:color w:val="183850" w:themeColor="text1"/>
          <w:sz w:val="20"/>
          <w:szCs w:val="20"/>
          <w:lang w:val="en-US"/>
        </w:rPr>
        <w:t>re to the international targets and national pledges made</w:t>
      </w:r>
      <w:r w:rsidRPr="003B4083">
        <w:rPr>
          <w:rFonts w:ascii="Verdana" w:hAnsi="Verdana" w:cs="Arial"/>
          <w:color w:val="183850" w:themeColor="text1"/>
          <w:sz w:val="20"/>
          <w:szCs w:val="20"/>
          <w:lang w:val="en-US"/>
        </w:rPr>
        <w:t xml:space="preserve"> as part of the Paris Agreement;</w:t>
      </w:r>
    </w:p>
    <w:p w:rsidR="0084162E" w:rsidRPr="003B4083" w:rsidRDefault="00067BC0" w:rsidP="003B4083">
      <w:pPr>
        <w:pStyle w:val="ListParagraph"/>
        <w:numPr>
          <w:ilvl w:val="0"/>
          <w:numId w:val="15"/>
        </w:numPr>
        <w:shd w:val="clear" w:color="auto" w:fill="FFFFFF"/>
        <w:tabs>
          <w:tab w:val="num" w:pos="284"/>
        </w:tabs>
        <w:spacing w:after="0" w:line="240" w:lineRule="auto"/>
        <w:ind w:left="0" w:firstLine="0"/>
        <w:rPr>
          <w:rFonts w:ascii="Verdana" w:hAnsi="Verdana" w:cs="Arial"/>
          <w:color w:val="183850" w:themeColor="text1"/>
          <w:sz w:val="20"/>
          <w:szCs w:val="20"/>
          <w:lang w:val="en-US"/>
        </w:rPr>
      </w:pPr>
      <w:r w:rsidRPr="003B4083">
        <w:rPr>
          <w:rFonts w:ascii="Verdana" w:hAnsi="Verdana" w:cs="Arial"/>
          <w:color w:val="183850" w:themeColor="text1"/>
          <w:sz w:val="20"/>
          <w:szCs w:val="20"/>
          <w:lang w:val="en-US"/>
        </w:rPr>
        <w:t>Publishes the results of this analysis through an online tool.</w:t>
      </w:r>
    </w:p>
    <w:p w:rsidR="0084162E" w:rsidRPr="003B4083" w:rsidRDefault="00067BC0" w:rsidP="003B4083">
      <w:pPr>
        <w:autoSpaceDE w:val="0"/>
        <w:autoSpaceDN w:val="0"/>
        <w:adjustRightInd w:val="0"/>
        <w:spacing w:after="0"/>
        <w:rPr>
          <w:rFonts w:ascii="Verdana" w:hAnsi="Verdana"/>
          <w:color w:val="183850" w:themeColor="text1"/>
          <w:sz w:val="20"/>
          <w:szCs w:val="20"/>
        </w:rPr>
      </w:pPr>
    </w:p>
    <w:p w:rsidR="00831F8D" w:rsidRPr="003B4083" w:rsidRDefault="00067BC0" w:rsidP="003B4083">
      <w:pPr>
        <w:autoSpaceDE w:val="0"/>
        <w:autoSpaceDN w:val="0"/>
        <w:adjustRightInd w:val="0"/>
        <w:spacing w:after="0"/>
        <w:rPr>
          <w:rFonts w:ascii="Verdana" w:hAnsi="Verdana"/>
          <w:color w:val="183850" w:themeColor="text1"/>
          <w:sz w:val="20"/>
          <w:szCs w:val="20"/>
        </w:rPr>
      </w:pPr>
      <w:r w:rsidRPr="003B4083">
        <w:rPr>
          <w:rFonts w:ascii="Verdana" w:hAnsi="Verdana"/>
          <w:color w:val="183850" w:themeColor="text1"/>
          <w:sz w:val="20"/>
          <w:szCs w:val="20"/>
        </w:rPr>
        <w:t xml:space="preserve">At </w:t>
      </w:r>
      <w:r w:rsidRPr="003B4083">
        <w:rPr>
          <w:rFonts w:ascii="Verdana" w:hAnsi="Verdana"/>
          <w:color w:val="183850" w:themeColor="text1"/>
          <w:sz w:val="20"/>
          <w:szCs w:val="20"/>
        </w:rPr>
        <w:t xml:space="preserve">its </w:t>
      </w:r>
      <w:r w:rsidRPr="003B4083">
        <w:rPr>
          <w:rFonts w:ascii="Verdana" w:hAnsi="Verdana"/>
          <w:color w:val="183850" w:themeColor="text1"/>
          <w:sz w:val="20"/>
          <w:szCs w:val="20"/>
        </w:rPr>
        <w:t>launch on 11</w:t>
      </w:r>
      <w:r w:rsidRPr="003B4083">
        <w:rPr>
          <w:rFonts w:ascii="Verdana" w:hAnsi="Verdana"/>
          <w:color w:val="183850" w:themeColor="text1"/>
          <w:sz w:val="20"/>
          <w:szCs w:val="20"/>
          <w:vertAlign w:val="superscript"/>
        </w:rPr>
        <w:t>th</w:t>
      </w:r>
      <w:r w:rsidRPr="003B4083">
        <w:rPr>
          <w:rFonts w:ascii="Verdana" w:hAnsi="Verdana"/>
          <w:color w:val="183850" w:themeColor="text1"/>
          <w:sz w:val="20"/>
          <w:szCs w:val="20"/>
        </w:rPr>
        <w:t xml:space="preserve"> January 2017 the TPI published Management Quality Assessments for 20 large companies in the oil and gas sector and 20 large companies in the electricity utilities sector. By the end of 2017 MQ and Carbon Performance assessments will have been produced for</w:t>
      </w:r>
      <w:r w:rsidRPr="003B4083">
        <w:rPr>
          <w:rFonts w:ascii="Verdana" w:hAnsi="Verdana"/>
          <w:color w:val="183850" w:themeColor="text1"/>
          <w:sz w:val="20"/>
          <w:szCs w:val="20"/>
        </w:rPr>
        <w:t xml:space="preserve"> between 120 and 150 companies, with coverage and scope due to be extended further in 2018.   Companies are categorised into one of five levels based on an assessment of the information they disclose which must be in the public domain. </w:t>
      </w:r>
    </w:p>
    <w:p w:rsidR="00831F8D" w:rsidRPr="003B4083" w:rsidRDefault="00067BC0" w:rsidP="003B4083">
      <w:pPr>
        <w:autoSpaceDE w:val="0"/>
        <w:autoSpaceDN w:val="0"/>
        <w:adjustRightInd w:val="0"/>
        <w:spacing w:after="0"/>
        <w:rPr>
          <w:rFonts w:ascii="Verdana" w:hAnsi="Verdana"/>
          <w:color w:val="183850" w:themeColor="text1"/>
          <w:sz w:val="20"/>
          <w:szCs w:val="20"/>
        </w:rPr>
      </w:pPr>
    </w:p>
    <w:p w:rsidR="00771BC9" w:rsidRPr="003B4083" w:rsidRDefault="00067BC0" w:rsidP="003B4083">
      <w:pPr>
        <w:autoSpaceDE w:val="0"/>
        <w:autoSpaceDN w:val="0"/>
        <w:adjustRightInd w:val="0"/>
        <w:spacing w:after="0"/>
        <w:rPr>
          <w:rFonts w:ascii="Verdana" w:hAnsi="Verdana"/>
          <w:color w:val="183850" w:themeColor="text1"/>
          <w:sz w:val="20"/>
          <w:szCs w:val="20"/>
        </w:rPr>
      </w:pPr>
      <w:r w:rsidRPr="003B4083">
        <w:rPr>
          <w:rFonts w:ascii="Verdana" w:hAnsi="Verdana"/>
          <w:color w:val="183850" w:themeColor="text1"/>
          <w:sz w:val="20"/>
          <w:szCs w:val="20"/>
        </w:rPr>
        <w:lastRenderedPageBreak/>
        <w:t xml:space="preserve">LPP has committed </w:t>
      </w:r>
      <w:r w:rsidRPr="003B4083">
        <w:rPr>
          <w:rFonts w:ascii="Verdana" w:hAnsi="Verdana"/>
          <w:color w:val="183850" w:themeColor="text1"/>
          <w:sz w:val="20"/>
          <w:szCs w:val="20"/>
        </w:rPr>
        <w:t>to using the Toolkit to inform its approach to engagement on climate change. The toolkit is available at the following link</w:t>
      </w:r>
      <w:r w:rsidRPr="003B4083">
        <w:rPr>
          <w:rFonts w:ascii="Verdana" w:hAnsi="Verdana"/>
          <w:color w:val="183850" w:themeColor="text1"/>
          <w:sz w:val="20"/>
          <w:szCs w:val="20"/>
        </w:rPr>
        <w:t xml:space="preserve">. </w:t>
      </w:r>
      <w:hyperlink r:id="rId10" w:history="1">
        <w:r w:rsidRPr="003B4083">
          <w:rPr>
            <w:rStyle w:val="Hyperlink"/>
            <w:rFonts w:ascii="Verdana" w:hAnsi="Verdana"/>
            <w:color w:val="183850" w:themeColor="text1"/>
            <w:sz w:val="20"/>
            <w:szCs w:val="20"/>
          </w:rPr>
          <w:t>http://www.lse.ac.uk/GranthamInstitute/tpi/the-toolkit/</w:t>
        </w:r>
      </w:hyperlink>
    </w:p>
    <w:p w:rsidR="00831F8D" w:rsidRPr="00831F8D" w:rsidRDefault="00067BC0" w:rsidP="003B4083">
      <w:pPr>
        <w:autoSpaceDE w:val="0"/>
        <w:autoSpaceDN w:val="0"/>
        <w:adjustRightInd w:val="0"/>
        <w:spacing w:after="0"/>
        <w:rPr>
          <w:rFonts w:ascii="Verdana" w:hAnsi="Verdana"/>
          <w:sz w:val="20"/>
          <w:szCs w:val="20"/>
        </w:rPr>
      </w:pPr>
    </w:p>
    <w:p w:rsidR="00197BA3" w:rsidRPr="008E62D7" w:rsidRDefault="00067BC0"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E62D7">
        <w:rPr>
          <w:rFonts w:ascii="Verdana" w:hAnsi="Verdana" w:cs="Arial"/>
          <w:b/>
          <w:bCs/>
          <w:color w:val="54BBAB" w:themeColor="text2"/>
          <w:sz w:val="20"/>
          <w:szCs w:val="20"/>
        </w:rPr>
        <w:t>Sh</w:t>
      </w:r>
      <w:r w:rsidRPr="008E62D7">
        <w:rPr>
          <w:rFonts w:ascii="Verdana" w:hAnsi="Verdana" w:cs="Arial"/>
          <w:b/>
          <w:bCs/>
          <w:color w:val="54BBAB" w:themeColor="text2"/>
          <w:sz w:val="20"/>
          <w:szCs w:val="20"/>
        </w:rPr>
        <w:t>areholder Litigation</w:t>
      </w:r>
    </w:p>
    <w:p w:rsidR="009F2C10" w:rsidRDefault="00067BC0" w:rsidP="003B4083">
      <w:pPr>
        <w:autoSpaceDE w:val="0"/>
        <w:autoSpaceDN w:val="0"/>
        <w:adjustRightInd w:val="0"/>
        <w:spacing w:after="0"/>
        <w:rPr>
          <w:rFonts w:ascii="Verdana" w:hAnsi="Verdana" w:cs="Arial"/>
          <w:color w:val="183850" w:themeColor="text1"/>
          <w:sz w:val="20"/>
          <w:szCs w:val="20"/>
        </w:rPr>
      </w:pPr>
    </w:p>
    <w:p w:rsidR="005443F5"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Shareholder l</w:t>
      </w:r>
      <w:r w:rsidRPr="003B4083">
        <w:rPr>
          <w:rFonts w:ascii="Verdana" w:hAnsi="Verdana" w:cs="Arial"/>
          <w:color w:val="183850" w:themeColor="text1"/>
          <w:sz w:val="20"/>
          <w:szCs w:val="20"/>
        </w:rPr>
        <w:t>itigation offers a route for recovering financial losses where asset values have been diminished as a result of financial misconduct</w:t>
      </w:r>
      <w:r w:rsidRPr="003B4083">
        <w:rPr>
          <w:rFonts w:ascii="Verdana" w:hAnsi="Verdana" w:cs="Arial"/>
          <w:color w:val="183850" w:themeColor="text1"/>
          <w:sz w:val="20"/>
          <w:szCs w:val="20"/>
        </w:rPr>
        <w:t>. Activity</w:t>
      </w:r>
      <w:r w:rsidRPr="003B4083">
        <w:rPr>
          <w:rFonts w:ascii="Verdana" w:hAnsi="Verdana" w:cs="Arial"/>
          <w:color w:val="183850" w:themeColor="text1"/>
          <w:sz w:val="20"/>
          <w:szCs w:val="20"/>
        </w:rPr>
        <w:t xml:space="preserve"> forms </w:t>
      </w:r>
      <w:r w:rsidRPr="003B4083">
        <w:rPr>
          <w:rFonts w:ascii="Verdana" w:hAnsi="Verdana" w:cs="Arial"/>
          <w:color w:val="183850" w:themeColor="text1"/>
          <w:sz w:val="20"/>
          <w:szCs w:val="20"/>
        </w:rPr>
        <w:t xml:space="preserve">part of </w:t>
      </w:r>
      <w:r w:rsidRPr="003B4083">
        <w:rPr>
          <w:rFonts w:ascii="Verdana" w:hAnsi="Verdana" w:cs="Arial"/>
          <w:color w:val="183850" w:themeColor="text1"/>
          <w:sz w:val="20"/>
          <w:szCs w:val="20"/>
        </w:rPr>
        <w:t>seeking to hold</w:t>
      </w:r>
      <w:r w:rsidRPr="003B4083">
        <w:rPr>
          <w:rFonts w:ascii="Verdana" w:hAnsi="Verdana" w:cs="Arial"/>
          <w:color w:val="183850" w:themeColor="text1"/>
          <w:sz w:val="20"/>
          <w:szCs w:val="20"/>
        </w:rPr>
        <w:t xml:space="preserve"> companies to account for the</w:t>
      </w:r>
      <w:r w:rsidRPr="003B4083">
        <w:rPr>
          <w:rFonts w:ascii="Verdana" w:hAnsi="Verdana" w:cs="Arial"/>
          <w:color w:val="183850" w:themeColor="text1"/>
          <w:sz w:val="20"/>
          <w:szCs w:val="20"/>
        </w:rPr>
        <w:t xml:space="preserve"> quality of their</w:t>
      </w:r>
      <w:r w:rsidRPr="003B4083">
        <w:rPr>
          <w:rFonts w:ascii="Verdana" w:hAnsi="Verdana" w:cs="Arial"/>
          <w:color w:val="183850" w:themeColor="text1"/>
          <w:sz w:val="20"/>
          <w:szCs w:val="20"/>
        </w:rPr>
        <w:t xml:space="preserve"> corporate governance </w:t>
      </w:r>
      <w:r w:rsidRPr="003B4083">
        <w:rPr>
          <w:rFonts w:ascii="Verdana" w:hAnsi="Verdana" w:cs="Arial"/>
          <w:color w:val="183850" w:themeColor="text1"/>
          <w:sz w:val="20"/>
          <w:szCs w:val="20"/>
        </w:rPr>
        <w:t xml:space="preserve">arrangements </w:t>
      </w:r>
      <w:r w:rsidRPr="003B4083">
        <w:rPr>
          <w:rFonts w:ascii="Verdana" w:hAnsi="Verdana" w:cs="Arial"/>
          <w:color w:val="183850" w:themeColor="text1"/>
          <w:sz w:val="20"/>
          <w:szCs w:val="20"/>
        </w:rPr>
        <w:t>and the</w:t>
      </w:r>
      <w:r w:rsidRPr="003B4083">
        <w:rPr>
          <w:rFonts w:ascii="Verdana" w:hAnsi="Verdana" w:cs="Arial"/>
          <w:color w:val="183850" w:themeColor="text1"/>
          <w:sz w:val="20"/>
          <w:szCs w:val="20"/>
        </w:rPr>
        <w:t>ir</w:t>
      </w:r>
      <w:r w:rsidRPr="003B4083">
        <w:rPr>
          <w:rFonts w:ascii="Verdana" w:hAnsi="Verdana" w:cs="Arial"/>
          <w:color w:val="183850" w:themeColor="text1"/>
          <w:sz w:val="20"/>
          <w:szCs w:val="20"/>
        </w:rPr>
        <w:t xml:space="preserve"> protection of investor interests</w:t>
      </w:r>
      <w:r w:rsidRPr="003B4083">
        <w:rPr>
          <w:rFonts w:ascii="Verdana" w:hAnsi="Verdana" w:cs="Arial"/>
          <w:color w:val="183850" w:themeColor="text1"/>
          <w:sz w:val="20"/>
          <w:szCs w:val="20"/>
        </w:rPr>
        <w:t xml:space="preserve">. </w:t>
      </w:r>
    </w:p>
    <w:p w:rsidR="005443F5" w:rsidRPr="003B4083" w:rsidRDefault="00067BC0" w:rsidP="003B4083">
      <w:pPr>
        <w:autoSpaceDE w:val="0"/>
        <w:autoSpaceDN w:val="0"/>
        <w:adjustRightInd w:val="0"/>
        <w:spacing w:after="0"/>
        <w:rPr>
          <w:rFonts w:ascii="Verdana" w:hAnsi="Verdana" w:cs="Arial"/>
          <w:color w:val="183850" w:themeColor="text1"/>
          <w:sz w:val="20"/>
          <w:szCs w:val="20"/>
        </w:rPr>
      </w:pPr>
    </w:p>
    <w:p w:rsidR="00601570"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LPP I </w:t>
      </w:r>
      <w:r w:rsidRPr="003B4083">
        <w:rPr>
          <w:rFonts w:ascii="Verdana" w:hAnsi="Verdana" w:cs="Arial"/>
          <w:color w:val="183850" w:themeColor="text1"/>
          <w:sz w:val="20"/>
          <w:szCs w:val="20"/>
        </w:rPr>
        <w:t xml:space="preserve">has </w:t>
      </w:r>
      <w:r w:rsidRPr="003B4083">
        <w:rPr>
          <w:rFonts w:ascii="Verdana" w:hAnsi="Verdana" w:cs="Arial"/>
          <w:color w:val="183850" w:themeColor="text1"/>
          <w:sz w:val="20"/>
          <w:szCs w:val="20"/>
        </w:rPr>
        <w:t xml:space="preserve">recently </w:t>
      </w:r>
      <w:r w:rsidRPr="003B4083">
        <w:rPr>
          <w:rFonts w:ascii="Verdana" w:hAnsi="Verdana" w:cs="Arial"/>
          <w:color w:val="183850" w:themeColor="text1"/>
          <w:sz w:val="20"/>
          <w:szCs w:val="20"/>
        </w:rPr>
        <w:t>employ</w:t>
      </w:r>
      <w:r w:rsidRPr="003B4083">
        <w:rPr>
          <w:rFonts w:ascii="Verdana" w:hAnsi="Verdana" w:cs="Arial"/>
          <w:color w:val="183850" w:themeColor="text1"/>
          <w:sz w:val="20"/>
          <w:szCs w:val="20"/>
        </w:rPr>
        <w:t>ed</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Institutional Protection Services (IPS) as </w:t>
      </w:r>
      <w:r w:rsidRPr="003B4083">
        <w:rPr>
          <w:rFonts w:ascii="Verdana" w:hAnsi="Verdana" w:cs="Arial"/>
          <w:color w:val="183850" w:themeColor="text1"/>
          <w:sz w:val="20"/>
          <w:szCs w:val="20"/>
        </w:rPr>
        <w:t xml:space="preserve">an </w:t>
      </w:r>
      <w:r w:rsidRPr="003B4083">
        <w:rPr>
          <w:rFonts w:ascii="Verdana" w:hAnsi="Verdana"/>
          <w:bCs/>
          <w:color w:val="183850" w:themeColor="text1"/>
          <w:sz w:val="20"/>
          <w:szCs w:val="20"/>
        </w:rPr>
        <w:t>external provider</w:t>
      </w:r>
      <w:r w:rsidRPr="003B4083">
        <w:rPr>
          <w:rFonts w:ascii="Verdana" w:hAnsi="Verdana" w:cs="Arial"/>
          <w:color w:val="183850" w:themeColor="text1"/>
          <w:sz w:val="20"/>
          <w:szCs w:val="20"/>
        </w:rPr>
        <w:t xml:space="preserve"> of litigation m</w:t>
      </w:r>
      <w:r w:rsidRPr="003B4083">
        <w:rPr>
          <w:rFonts w:ascii="Verdana" w:hAnsi="Verdana"/>
          <w:bCs/>
          <w:color w:val="183850" w:themeColor="text1"/>
          <w:sz w:val="20"/>
          <w:szCs w:val="20"/>
        </w:rPr>
        <w:t xml:space="preserve">onitoring services to ensure </w:t>
      </w:r>
      <w:r w:rsidRPr="003B4083">
        <w:rPr>
          <w:rFonts w:ascii="Verdana" w:hAnsi="Verdana" w:cs="Arial"/>
          <w:color w:val="183850" w:themeColor="text1"/>
          <w:sz w:val="20"/>
          <w:szCs w:val="20"/>
        </w:rPr>
        <w:t>shareholder litigation</w:t>
      </w:r>
      <w:r w:rsidRPr="003B4083">
        <w:rPr>
          <w:rFonts w:ascii="Verdana" w:hAnsi="Verdana" w:cs="Arial"/>
          <w:color w:val="183850" w:themeColor="text1"/>
          <w:sz w:val="20"/>
          <w:szCs w:val="20"/>
        </w:rPr>
        <w:t xml:space="preserve"> case</w:t>
      </w:r>
      <w:r w:rsidRPr="003B4083">
        <w:rPr>
          <w:rFonts w:ascii="Verdana" w:hAnsi="Verdana" w:cs="Arial"/>
          <w:color w:val="183850" w:themeColor="text1"/>
          <w:sz w:val="20"/>
          <w:szCs w:val="20"/>
        </w:rPr>
        <w:t>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affecting securities </w:t>
      </w:r>
      <w:r w:rsidRPr="003B4083">
        <w:rPr>
          <w:rFonts w:ascii="Verdana" w:hAnsi="Verdana" w:cs="Arial"/>
          <w:color w:val="183850" w:themeColor="text1"/>
          <w:sz w:val="20"/>
          <w:szCs w:val="20"/>
        </w:rPr>
        <w:t>owned by</w:t>
      </w:r>
      <w:r w:rsidRPr="003B4083">
        <w:rPr>
          <w:rFonts w:ascii="Verdana" w:hAnsi="Verdana" w:cs="Arial"/>
          <w:color w:val="183850" w:themeColor="text1"/>
          <w:sz w:val="20"/>
          <w:szCs w:val="20"/>
        </w:rPr>
        <w:t xml:space="preserve"> the GEF </w:t>
      </w:r>
      <w:r w:rsidRPr="003B4083">
        <w:rPr>
          <w:rFonts w:ascii="Verdana" w:hAnsi="Verdana" w:cs="Arial"/>
          <w:color w:val="183850" w:themeColor="text1"/>
          <w:sz w:val="20"/>
          <w:szCs w:val="20"/>
        </w:rPr>
        <w:t>are known about,</w:t>
      </w:r>
      <w:r w:rsidRPr="003B4083">
        <w:rPr>
          <w:rFonts w:ascii="Verdana" w:hAnsi="Verdana" w:cs="Arial"/>
          <w:color w:val="183850" w:themeColor="text1"/>
          <w:sz w:val="20"/>
          <w:szCs w:val="20"/>
        </w:rPr>
        <w:t xml:space="preserve"> claims are filed in a timely way </w:t>
      </w:r>
      <w:r w:rsidRPr="003B4083">
        <w:rPr>
          <w:rFonts w:ascii="Verdana" w:hAnsi="Verdana" w:cs="Arial"/>
          <w:color w:val="183850" w:themeColor="text1"/>
          <w:sz w:val="20"/>
          <w:szCs w:val="20"/>
        </w:rPr>
        <w:t>and progress is monitored and follo</w:t>
      </w:r>
      <w:r w:rsidRPr="003B4083">
        <w:rPr>
          <w:rFonts w:ascii="Verdana" w:hAnsi="Verdana" w:cs="Arial"/>
          <w:color w:val="183850" w:themeColor="text1"/>
          <w:sz w:val="20"/>
          <w:szCs w:val="20"/>
        </w:rPr>
        <w:t>wed up</w:t>
      </w:r>
      <w:r w:rsidRPr="003B4083">
        <w:rPr>
          <w:rFonts w:ascii="Verdana" w:hAnsi="Verdana" w:cs="Arial"/>
          <w:color w:val="183850" w:themeColor="text1"/>
          <w:sz w:val="20"/>
          <w:szCs w:val="20"/>
        </w:rPr>
        <w:t xml:space="preserve"> with Claims A</w:t>
      </w:r>
      <w:r w:rsidRPr="003B4083">
        <w:rPr>
          <w:rFonts w:ascii="Verdana" w:hAnsi="Verdana" w:cs="Arial"/>
          <w:color w:val="183850" w:themeColor="text1"/>
          <w:sz w:val="20"/>
          <w:szCs w:val="20"/>
        </w:rPr>
        <w:t>dministrators</w:t>
      </w:r>
      <w:r w:rsidRPr="003B4083">
        <w:rPr>
          <w:rFonts w:ascii="Verdana" w:hAnsi="Verdana" w:cs="Arial"/>
          <w:color w:val="183850" w:themeColor="text1"/>
          <w:sz w:val="20"/>
          <w:szCs w:val="20"/>
        </w:rPr>
        <w:t>.</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In addition, IPS </w:t>
      </w:r>
      <w:r>
        <w:rPr>
          <w:rFonts w:ascii="Verdana" w:hAnsi="Verdana" w:cs="Arial"/>
          <w:color w:val="183850" w:themeColor="text1"/>
          <w:sz w:val="20"/>
          <w:szCs w:val="20"/>
        </w:rPr>
        <w:t>will</w:t>
      </w:r>
      <w:r w:rsidRPr="003B4083">
        <w:rPr>
          <w:rFonts w:ascii="Verdana" w:hAnsi="Verdana" w:cs="Arial"/>
          <w:color w:val="183850" w:themeColor="text1"/>
          <w:sz w:val="20"/>
          <w:szCs w:val="20"/>
        </w:rPr>
        <w:t xml:space="preserve"> monito</w:t>
      </w:r>
      <w:r>
        <w:rPr>
          <w:rFonts w:ascii="Verdana" w:hAnsi="Verdana" w:cs="Arial"/>
          <w:color w:val="183850" w:themeColor="text1"/>
          <w:sz w:val="20"/>
          <w:szCs w:val="20"/>
        </w:rPr>
        <w:t xml:space="preserve">r </w:t>
      </w:r>
      <w:r w:rsidRPr="003B4083">
        <w:rPr>
          <w:rFonts w:ascii="Verdana" w:hAnsi="Verdana" w:cs="Arial"/>
          <w:color w:val="183850" w:themeColor="text1"/>
          <w:sz w:val="20"/>
          <w:szCs w:val="20"/>
        </w:rPr>
        <w:t xml:space="preserve">cases </w:t>
      </w:r>
      <w:r>
        <w:rPr>
          <w:rFonts w:ascii="Verdana" w:hAnsi="Verdana" w:cs="Arial"/>
          <w:color w:val="183850" w:themeColor="text1"/>
          <w:sz w:val="20"/>
          <w:szCs w:val="20"/>
        </w:rPr>
        <w:t>relating</w:t>
      </w:r>
      <w:r w:rsidRPr="003B4083">
        <w:rPr>
          <w:rFonts w:ascii="Verdana" w:hAnsi="Verdana" w:cs="Arial"/>
          <w:color w:val="183850" w:themeColor="text1"/>
          <w:sz w:val="20"/>
          <w:szCs w:val="20"/>
        </w:rPr>
        <w:t xml:space="preserve"> to </w:t>
      </w:r>
      <w:r w:rsidRPr="003B4083">
        <w:rPr>
          <w:rFonts w:ascii="Verdana" w:hAnsi="Verdana" w:cs="Arial"/>
          <w:color w:val="183850" w:themeColor="text1"/>
          <w:sz w:val="20"/>
          <w:szCs w:val="20"/>
        </w:rPr>
        <w:t>shares</w:t>
      </w:r>
      <w:r w:rsidRPr="003B4083">
        <w:rPr>
          <w:rFonts w:ascii="Verdana" w:hAnsi="Verdana" w:cs="Arial"/>
          <w:color w:val="183850" w:themeColor="text1"/>
          <w:sz w:val="20"/>
          <w:szCs w:val="20"/>
        </w:rPr>
        <w:t xml:space="preserve"> held by LCPF </w:t>
      </w:r>
      <w:r>
        <w:rPr>
          <w:rFonts w:ascii="Verdana" w:hAnsi="Verdana" w:cs="Arial"/>
          <w:color w:val="183850" w:themeColor="text1"/>
          <w:sz w:val="20"/>
          <w:szCs w:val="20"/>
        </w:rPr>
        <w:t xml:space="preserve">in the period </w:t>
      </w:r>
      <w:r w:rsidRPr="003B4083">
        <w:rPr>
          <w:rFonts w:ascii="Verdana" w:hAnsi="Verdana" w:cs="Arial"/>
          <w:color w:val="183850" w:themeColor="text1"/>
          <w:sz w:val="20"/>
          <w:szCs w:val="20"/>
        </w:rPr>
        <w:t xml:space="preserve">before the Fund pooled its listed equity investments from November 2016.  </w:t>
      </w:r>
      <w:r w:rsidRPr="003B4083">
        <w:rPr>
          <w:rFonts w:ascii="Verdana" w:hAnsi="Verdana" w:cs="Arial"/>
          <w:color w:val="183850" w:themeColor="text1"/>
          <w:sz w:val="20"/>
          <w:szCs w:val="20"/>
        </w:rPr>
        <w:t xml:space="preserve">Litigation </w:t>
      </w:r>
      <w:r w:rsidRPr="003B4083">
        <w:rPr>
          <w:rFonts w:ascii="Verdana" w:hAnsi="Verdana" w:cs="Arial"/>
          <w:color w:val="183850" w:themeColor="text1"/>
          <w:sz w:val="20"/>
          <w:szCs w:val="20"/>
        </w:rPr>
        <w:t>can</w:t>
      </w:r>
      <w:r w:rsidRPr="003B4083">
        <w:rPr>
          <w:rFonts w:ascii="Verdana" w:hAnsi="Verdana" w:cs="Arial"/>
          <w:color w:val="183850" w:themeColor="text1"/>
          <w:sz w:val="20"/>
          <w:szCs w:val="20"/>
        </w:rPr>
        <w:t xml:space="preserve"> arise </w:t>
      </w:r>
      <w:r w:rsidRPr="003B4083">
        <w:rPr>
          <w:rFonts w:ascii="Verdana" w:hAnsi="Verdana" w:cs="Arial"/>
          <w:color w:val="183850" w:themeColor="text1"/>
          <w:sz w:val="20"/>
          <w:szCs w:val="20"/>
        </w:rPr>
        <w:t xml:space="preserve">quite </w:t>
      </w:r>
      <w:r w:rsidRPr="003B4083">
        <w:rPr>
          <w:rFonts w:ascii="Verdana" w:hAnsi="Verdana" w:cs="Arial"/>
          <w:color w:val="183850" w:themeColor="text1"/>
          <w:sz w:val="20"/>
          <w:szCs w:val="20"/>
        </w:rPr>
        <w:t>some</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time after </w:t>
      </w:r>
      <w:r w:rsidRPr="003B4083">
        <w:rPr>
          <w:rFonts w:ascii="Verdana" w:hAnsi="Verdana" w:cs="Arial"/>
          <w:color w:val="183850" w:themeColor="text1"/>
          <w:sz w:val="20"/>
          <w:szCs w:val="20"/>
        </w:rPr>
        <w:t xml:space="preserve">shareholdings have been sold and </w:t>
      </w:r>
      <w:r w:rsidRPr="003B4083">
        <w:rPr>
          <w:rFonts w:ascii="Verdana" w:hAnsi="Verdana" w:cs="Arial"/>
          <w:color w:val="183850" w:themeColor="text1"/>
          <w:sz w:val="20"/>
          <w:szCs w:val="20"/>
        </w:rPr>
        <w:t xml:space="preserve">monitoring </w:t>
      </w:r>
      <w:r w:rsidRPr="003B4083">
        <w:rPr>
          <w:rFonts w:ascii="Verdana" w:hAnsi="Verdana" w:cs="Arial"/>
          <w:color w:val="183850" w:themeColor="text1"/>
          <w:sz w:val="20"/>
          <w:szCs w:val="20"/>
        </w:rPr>
        <w:t xml:space="preserve">new cases and referring back to historic holdings </w:t>
      </w:r>
      <w:r w:rsidRPr="003B4083">
        <w:rPr>
          <w:rFonts w:ascii="Verdana" w:hAnsi="Verdana" w:cs="Arial"/>
          <w:color w:val="183850" w:themeColor="text1"/>
          <w:sz w:val="20"/>
          <w:szCs w:val="20"/>
        </w:rPr>
        <w:t xml:space="preserve">records </w:t>
      </w:r>
      <w:r w:rsidRPr="003B4083">
        <w:rPr>
          <w:rFonts w:ascii="Verdana" w:hAnsi="Verdana" w:cs="Arial"/>
          <w:color w:val="183850" w:themeColor="text1"/>
          <w:sz w:val="20"/>
          <w:szCs w:val="20"/>
        </w:rPr>
        <w:t>to establish rights of ownership is a</w:t>
      </w:r>
      <w:r w:rsidRPr="003B4083">
        <w:rPr>
          <w:rFonts w:ascii="Verdana" w:hAnsi="Verdana" w:cs="Arial"/>
          <w:color w:val="183850" w:themeColor="text1"/>
          <w:sz w:val="20"/>
          <w:szCs w:val="20"/>
        </w:rPr>
        <w:t>n ongoing task.</w:t>
      </w:r>
    </w:p>
    <w:p w:rsidR="00601570" w:rsidRPr="003B4083" w:rsidRDefault="00067BC0" w:rsidP="003B4083">
      <w:pPr>
        <w:autoSpaceDE w:val="0"/>
        <w:autoSpaceDN w:val="0"/>
        <w:adjustRightInd w:val="0"/>
        <w:spacing w:after="0"/>
        <w:rPr>
          <w:rFonts w:ascii="Verdana" w:hAnsi="Verdana" w:cs="Arial"/>
          <w:color w:val="183850" w:themeColor="text1"/>
          <w:sz w:val="20"/>
          <w:szCs w:val="20"/>
        </w:rPr>
      </w:pPr>
    </w:p>
    <w:p w:rsidR="00EC3178" w:rsidRPr="003B4083" w:rsidRDefault="00067BC0"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IPS provide LPP </w:t>
      </w:r>
      <w:r w:rsidRPr="003B4083">
        <w:rPr>
          <w:rFonts w:ascii="Verdana" w:hAnsi="Verdana" w:cs="Arial"/>
          <w:color w:val="183850" w:themeColor="text1"/>
          <w:sz w:val="20"/>
          <w:szCs w:val="20"/>
        </w:rPr>
        <w:t xml:space="preserve">I </w:t>
      </w:r>
      <w:r w:rsidRPr="003B4083">
        <w:rPr>
          <w:rFonts w:ascii="Verdana" w:hAnsi="Verdana" w:cs="Arial"/>
          <w:color w:val="183850" w:themeColor="text1"/>
          <w:sz w:val="20"/>
          <w:szCs w:val="20"/>
        </w:rPr>
        <w:t>with</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m</w:t>
      </w:r>
      <w:r w:rsidRPr="003B4083">
        <w:rPr>
          <w:rFonts w:ascii="Verdana" w:hAnsi="Verdana" w:cs="Arial"/>
          <w:color w:val="183850" w:themeColor="text1"/>
          <w:sz w:val="20"/>
          <w:szCs w:val="20"/>
        </w:rPr>
        <w:t xml:space="preserve">onitoring </w:t>
      </w:r>
      <w:r w:rsidRPr="003B4083">
        <w:rPr>
          <w:rFonts w:ascii="Verdana" w:hAnsi="Verdana" w:cs="Arial"/>
          <w:color w:val="183850" w:themeColor="text1"/>
          <w:sz w:val="20"/>
          <w:szCs w:val="20"/>
        </w:rPr>
        <w:t>information</w:t>
      </w:r>
      <w:r w:rsidRPr="003B4083">
        <w:rPr>
          <w:rFonts w:ascii="Verdana" w:hAnsi="Verdana" w:cs="Arial"/>
          <w:color w:val="183850" w:themeColor="text1"/>
          <w:sz w:val="20"/>
          <w:szCs w:val="20"/>
        </w:rPr>
        <w:t xml:space="preserve"> on a quarterly basis </w:t>
      </w:r>
      <w:r w:rsidRPr="003B4083">
        <w:rPr>
          <w:rFonts w:ascii="Verdana" w:hAnsi="Verdana" w:cs="Arial"/>
          <w:color w:val="183850" w:themeColor="text1"/>
          <w:sz w:val="20"/>
          <w:szCs w:val="20"/>
        </w:rPr>
        <w:t>detailing</w:t>
      </w:r>
      <w:r w:rsidRPr="003B4083">
        <w:rPr>
          <w:rFonts w:ascii="Verdana" w:hAnsi="Verdana" w:cs="Arial"/>
          <w:color w:val="183850" w:themeColor="text1"/>
          <w:sz w:val="20"/>
          <w:szCs w:val="20"/>
        </w:rPr>
        <w:t xml:space="preserve"> the number of cases investiga</w:t>
      </w:r>
      <w:r w:rsidRPr="003B4083">
        <w:rPr>
          <w:rFonts w:ascii="Verdana" w:hAnsi="Verdana" w:cs="Arial"/>
          <w:color w:val="183850" w:themeColor="text1"/>
          <w:sz w:val="20"/>
          <w:szCs w:val="20"/>
        </w:rPr>
        <w:t>ted</w:t>
      </w:r>
      <w:r w:rsidRPr="003B4083">
        <w:rPr>
          <w:rFonts w:ascii="Verdana" w:hAnsi="Verdana" w:cs="Arial"/>
          <w:color w:val="183850" w:themeColor="text1"/>
          <w:sz w:val="20"/>
          <w:szCs w:val="20"/>
        </w:rPr>
        <w:t>.</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The </w:t>
      </w:r>
      <w:r w:rsidRPr="003B4083">
        <w:rPr>
          <w:rFonts w:ascii="Verdana" w:hAnsi="Verdana" w:cs="Arial"/>
          <w:color w:val="183850" w:themeColor="text1"/>
          <w:sz w:val="20"/>
          <w:szCs w:val="20"/>
        </w:rPr>
        <w:t xml:space="preserve">monitoring </w:t>
      </w:r>
      <w:r w:rsidRPr="003B4083">
        <w:rPr>
          <w:rFonts w:ascii="Verdana" w:hAnsi="Verdana" w:cs="Arial"/>
          <w:color w:val="183850" w:themeColor="text1"/>
          <w:sz w:val="20"/>
          <w:szCs w:val="20"/>
        </w:rPr>
        <w:t xml:space="preserve">report </w:t>
      </w:r>
      <w:r w:rsidRPr="003B4083">
        <w:rPr>
          <w:rFonts w:ascii="Verdana" w:hAnsi="Verdana" w:cs="Arial"/>
          <w:color w:val="183850" w:themeColor="text1"/>
          <w:sz w:val="20"/>
          <w:szCs w:val="20"/>
        </w:rPr>
        <w:t>for Q1 2017</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was the first to provide</w:t>
      </w:r>
      <w:r w:rsidRPr="003B4083">
        <w:rPr>
          <w:rFonts w:ascii="Verdana" w:hAnsi="Verdana" w:cs="Arial"/>
          <w:color w:val="183850" w:themeColor="text1"/>
          <w:sz w:val="20"/>
          <w:szCs w:val="20"/>
        </w:rPr>
        <w:t xml:space="preserve"> information on</w:t>
      </w:r>
      <w:r w:rsidRPr="003B4083">
        <w:rPr>
          <w:rFonts w:ascii="Verdana" w:hAnsi="Verdana" w:cs="Arial"/>
          <w:color w:val="183850" w:themeColor="text1"/>
          <w:sz w:val="20"/>
          <w:szCs w:val="20"/>
        </w:rPr>
        <w:t xml:space="preserve"> cases </w:t>
      </w:r>
      <w:r w:rsidRPr="003B4083">
        <w:rPr>
          <w:rFonts w:ascii="Verdana" w:hAnsi="Verdana" w:cs="Arial"/>
          <w:color w:val="183850" w:themeColor="text1"/>
          <w:sz w:val="20"/>
          <w:szCs w:val="20"/>
        </w:rPr>
        <w:t xml:space="preserve">identified </w:t>
      </w:r>
      <w:r w:rsidRPr="003B4083">
        <w:rPr>
          <w:rFonts w:ascii="Verdana" w:hAnsi="Verdana" w:cs="Arial"/>
          <w:color w:val="183850" w:themeColor="text1"/>
          <w:sz w:val="20"/>
          <w:szCs w:val="20"/>
        </w:rPr>
        <w:t>for</w:t>
      </w:r>
      <w:r w:rsidRPr="003B4083">
        <w:rPr>
          <w:rFonts w:ascii="Verdana" w:hAnsi="Verdana" w:cs="Arial"/>
          <w:color w:val="183850" w:themeColor="text1"/>
          <w:sz w:val="20"/>
          <w:szCs w:val="20"/>
        </w:rPr>
        <w:t xml:space="preserve"> LCPF holdings (</w:t>
      </w:r>
      <w:r w:rsidRPr="003B4083">
        <w:rPr>
          <w:rFonts w:ascii="Verdana" w:hAnsi="Verdana" w:cs="Arial"/>
          <w:color w:val="183850" w:themeColor="text1"/>
          <w:sz w:val="20"/>
          <w:szCs w:val="20"/>
        </w:rPr>
        <w:t>legacy assets</w:t>
      </w:r>
      <w:r w:rsidRPr="003B4083">
        <w:rPr>
          <w:rFonts w:ascii="Verdana" w:hAnsi="Verdana" w:cs="Arial"/>
          <w:color w:val="183850" w:themeColor="text1"/>
          <w:sz w:val="20"/>
          <w:szCs w:val="20"/>
        </w:rPr>
        <w:t>)</w:t>
      </w:r>
      <w:r w:rsidRPr="003B4083">
        <w:rPr>
          <w:rFonts w:ascii="Verdana" w:hAnsi="Verdana" w:cs="Arial"/>
          <w:color w:val="183850" w:themeColor="text1"/>
          <w:sz w:val="20"/>
          <w:szCs w:val="20"/>
        </w:rPr>
        <w:t xml:space="preserve">. The figures </w:t>
      </w:r>
      <w:r w:rsidRPr="003B4083">
        <w:rPr>
          <w:rFonts w:ascii="Verdana" w:hAnsi="Verdana" w:cs="Arial"/>
          <w:color w:val="183850" w:themeColor="text1"/>
          <w:sz w:val="20"/>
          <w:szCs w:val="20"/>
        </w:rPr>
        <w:t>reflect</w:t>
      </w:r>
      <w:r w:rsidRPr="003B4083">
        <w:rPr>
          <w:rFonts w:ascii="Verdana" w:hAnsi="Verdana" w:cs="Arial"/>
          <w:color w:val="183850" w:themeColor="text1"/>
          <w:sz w:val="20"/>
          <w:szCs w:val="20"/>
        </w:rPr>
        <w:t xml:space="preserve"> that a</w:t>
      </w:r>
      <w:r w:rsidRPr="003B4083">
        <w:rPr>
          <w:rFonts w:ascii="Verdana" w:hAnsi="Verdana" w:cs="Arial"/>
          <w:color w:val="183850" w:themeColor="text1"/>
          <w:sz w:val="20"/>
          <w:szCs w:val="20"/>
        </w:rPr>
        <w:t xml:space="preserve"> long backward look</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has been </w:t>
      </w:r>
      <w:r w:rsidRPr="003B4083">
        <w:rPr>
          <w:rFonts w:ascii="Verdana" w:hAnsi="Verdana" w:cs="Arial"/>
          <w:color w:val="183850" w:themeColor="text1"/>
          <w:sz w:val="20"/>
          <w:szCs w:val="20"/>
        </w:rPr>
        <w:t xml:space="preserve">undertaken </w:t>
      </w:r>
      <w:r w:rsidRPr="003B4083">
        <w:rPr>
          <w:rFonts w:ascii="Verdana" w:hAnsi="Verdana" w:cs="Arial"/>
          <w:color w:val="183850" w:themeColor="text1"/>
          <w:sz w:val="20"/>
          <w:szCs w:val="20"/>
        </w:rPr>
        <w:t>as part of service take on</w:t>
      </w:r>
      <w:r w:rsidRPr="003B4083">
        <w:rPr>
          <w:rFonts w:ascii="Verdana" w:hAnsi="Verdana" w:cs="Arial"/>
          <w:color w:val="183850" w:themeColor="text1"/>
          <w:sz w:val="20"/>
          <w:szCs w:val="20"/>
        </w:rPr>
        <w:t xml:space="preserve"> by IPS</w:t>
      </w:r>
      <w:r w:rsidRPr="003B4083">
        <w:rPr>
          <w:rFonts w:ascii="Verdana" w:hAnsi="Verdana" w:cs="Arial"/>
          <w:color w:val="183850" w:themeColor="text1"/>
          <w:sz w:val="20"/>
          <w:szCs w:val="20"/>
        </w:rPr>
        <w:t xml:space="preserve">. The number of cases </w:t>
      </w:r>
      <w:r>
        <w:rPr>
          <w:rFonts w:ascii="Verdana" w:hAnsi="Verdana" w:cs="Arial"/>
          <w:color w:val="183850" w:themeColor="text1"/>
          <w:sz w:val="20"/>
          <w:szCs w:val="20"/>
        </w:rPr>
        <w:t xml:space="preserve">in Q1 </w:t>
      </w:r>
      <w:r w:rsidRPr="003B4083">
        <w:rPr>
          <w:rFonts w:ascii="Verdana" w:hAnsi="Verdana" w:cs="Arial"/>
          <w:color w:val="183850" w:themeColor="text1"/>
          <w:sz w:val="20"/>
          <w:szCs w:val="20"/>
        </w:rPr>
        <w:t>is</w:t>
      </w:r>
      <w:r w:rsidRPr="003B4083">
        <w:rPr>
          <w:rFonts w:ascii="Verdana" w:hAnsi="Verdana" w:cs="Arial"/>
          <w:color w:val="183850" w:themeColor="text1"/>
          <w:sz w:val="20"/>
          <w:szCs w:val="20"/>
        </w:rPr>
        <w:t xml:space="preserve"> not representative of the </w:t>
      </w:r>
      <w:r w:rsidRPr="003B4083">
        <w:rPr>
          <w:rFonts w:ascii="Verdana" w:hAnsi="Verdana" w:cs="Arial"/>
          <w:color w:val="183850" w:themeColor="text1"/>
          <w:sz w:val="20"/>
          <w:szCs w:val="20"/>
        </w:rPr>
        <w:t xml:space="preserve">ordinary </w:t>
      </w:r>
      <w:r w:rsidRPr="003B4083">
        <w:rPr>
          <w:rFonts w:ascii="Verdana" w:hAnsi="Verdana" w:cs="Arial"/>
          <w:color w:val="183850" w:themeColor="text1"/>
          <w:sz w:val="20"/>
          <w:szCs w:val="20"/>
        </w:rPr>
        <w:t>volume of new</w:t>
      </w:r>
      <w:r w:rsidRPr="003B4083">
        <w:rPr>
          <w:rFonts w:ascii="Verdana" w:hAnsi="Verdana" w:cs="Arial"/>
          <w:color w:val="183850" w:themeColor="text1"/>
          <w:sz w:val="20"/>
          <w:szCs w:val="20"/>
        </w:rPr>
        <w:t xml:space="preserve"> cases </w:t>
      </w:r>
      <w:r w:rsidRPr="003B4083">
        <w:rPr>
          <w:rFonts w:ascii="Verdana" w:hAnsi="Verdana" w:cs="Arial"/>
          <w:color w:val="183850" w:themeColor="text1"/>
          <w:sz w:val="20"/>
          <w:szCs w:val="20"/>
        </w:rPr>
        <w:t xml:space="preserve">arising </w:t>
      </w:r>
      <w:r w:rsidRPr="003B4083">
        <w:rPr>
          <w:rFonts w:ascii="Verdana" w:hAnsi="Verdana" w:cs="Arial"/>
          <w:color w:val="183850" w:themeColor="text1"/>
          <w:sz w:val="20"/>
          <w:szCs w:val="20"/>
        </w:rPr>
        <w:t>within a single</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quarter</w:t>
      </w:r>
      <w:r w:rsidRPr="003B4083">
        <w:rPr>
          <w:rFonts w:ascii="Verdana" w:hAnsi="Verdana" w:cs="Arial"/>
          <w:color w:val="183850" w:themeColor="text1"/>
          <w:sz w:val="20"/>
          <w:szCs w:val="20"/>
        </w:rPr>
        <w:t>:</w:t>
      </w:r>
    </w:p>
    <w:p w:rsidR="00EC3178" w:rsidRPr="003B4083" w:rsidRDefault="00067BC0" w:rsidP="003B4083">
      <w:pPr>
        <w:autoSpaceDE w:val="0"/>
        <w:autoSpaceDN w:val="0"/>
        <w:adjustRightInd w:val="0"/>
        <w:spacing w:after="0"/>
        <w:rPr>
          <w:rFonts w:ascii="Verdana" w:hAnsi="Verdana" w:cs="Arial"/>
          <w:color w:val="183850" w:themeColor="text1"/>
          <w:sz w:val="20"/>
          <w:szCs w:val="20"/>
        </w:rPr>
      </w:pPr>
    </w:p>
    <w:tbl>
      <w:tblPr>
        <w:tblStyle w:val="TableGrid"/>
        <w:tblW w:w="7938" w:type="dxa"/>
        <w:tblInd w:w="-5" w:type="dxa"/>
        <w:tblLayout w:type="fixed"/>
        <w:tblLook w:val="04A0" w:firstRow="1" w:lastRow="0" w:firstColumn="1" w:lastColumn="0" w:noHBand="0" w:noVBand="1"/>
      </w:tblPr>
      <w:tblGrid>
        <w:gridCol w:w="7371"/>
        <w:gridCol w:w="567"/>
      </w:tblGrid>
      <w:tr w:rsidR="003A433B" w:rsidTr="007960A9">
        <w:trPr>
          <w:trHeight w:val="416"/>
        </w:trPr>
        <w:tc>
          <w:tcPr>
            <w:tcW w:w="7371" w:type="dxa"/>
          </w:tcPr>
          <w:p w:rsidR="00EC3178" w:rsidRPr="003B4083" w:rsidRDefault="00067BC0" w:rsidP="003B4083">
            <w:pPr>
              <w:autoSpaceDE w:val="0"/>
              <w:autoSpaceDN w:val="0"/>
              <w:adjustRightInd w:val="0"/>
              <w:rPr>
                <w:rFonts w:ascii="Verdana" w:hAnsi="Verdana" w:cs="Arial"/>
                <w:color w:val="183850" w:themeColor="text1"/>
                <w:sz w:val="20"/>
                <w:szCs w:val="20"/>
              </w:rPr>
            </w:pPr>
            <w:r w:rsidRPr="003B4083">
              <w:rPr>
                <w:rFonts w:ascii="Verdana" w:hAnsi="Verdana" w:cs="Arial"/>
                <w:color w:val="183850" w:themeColor="text1"/>
                <w:sz w:val="20"/>
                <w:szCs w:val="20"/>
              </w:rPr>
              <w:t xml:space="preserve">Total cases identified where LCPF had holdings </w:t>
            </w:r>
            <w:r w:rsidRPr="003B4083">
              <w:rPr>
                <w:rFonts w:ascii="Verdana" w:hAnsi="Verdana" w:cs="Arial"/>
                <w:color w:val="183850" w:themeColor="text1"/>
                <w:sz w:val="20"/>
                <w:szCs w:val="20"/>
              </w:rPr>
              <w:t>with</w:t>
            </w:r>
            <w:r w:rsidRPr="003B4083">
              <w:rPr>
                <w:rFonts w:ascii="Verdana" w:hAnsi="Verdana" w:cs="Arial"/>
                <w:color w:val="183850" w:themeColor="text1"/>
                <w:sz w:val="20"/>
                <w:szCs w:val="20"/>
              </w:rPr>
              <w:t>in the class period</w:t>
            </w:r>
            <w:r w:rsidRPr="003B4083">
              <w:rPr>
                <w:rFonts w:ascii="Verdana" w:hAnsi="Verdana" w:cs="Arial"/>
                <w:color w:val="183850" w:themeColor="text1"/>
                <w:sz w:val="20"/>
                <w:szCs w:val="20"/>
              </w:rPr>
              <w:t xml:space="preserve"> </w:t>
            </w:r>
          </w:p>
        </w:tc>
        <w:tc>
          <w:tcPr>
            <w:tcW w:w="567" w:type="dxa"/>
          </w:tcPr>
          <w:p w:rsidR="00EC3178" w:rsidRPr="003B4083" w:rsidRDefault="00067BC0" w:rsidP="003B4083">
            <w:pPr>
              <w:autoSpaceDE w:val="0"/>
              <w:autoSpaceDN w:val="0"/>
              <w:adjustRightInd w:val="0"/>
              <w:jc w:val="right"/>
              <w:rPr>
                <w:rFonts w:ascii="Verdana" w:hAnsi="Verdana" w:cs="Arial"/>
                <w:color w:val="183850" w:themeColor="text1"/>
                <w:sz w:val="20"/>
                <w:szCs w:val="20"/>
              </w:rPr>
            </w:pPr>
            <w:r w:rsidRPr="003B4083">
              <w:rPr>
                <w:rFonts w:ascii="Verdana" w:hAnsi="Verdana" w:cs="Arial"/>
                <w:color w:val="183850" w:themeColor="text1"/>
                <w:sz w:val="20"/>
                <w:szCs w:val="20"/>
              </w:rPr>
              <w:t>47</w:t>
            </w:r>
          </w:p>
        </w:tc>
      </w:tr>
      <w:tr w:rsidR="003A433B" w:rsidTr="007960A9">
        <w:trPr>
          <w:trHeight w:val="416"/>
        </w:trPr>
        <w:tc>
          <w:tcPr>
            <w:tcW w:w="7371" w:type="dxa"/>
          </w:tcPr>
          <w:p w:rsidR="00EC3178" w:rsidRPr="003B4083" w:rsidRDefault="00067BC0" w:rsidP="003B4083">
            <w:pPr>
              <w:autoSpaceDE w:val="0"/>
              <w:autoSpaceDN w:val="0"/>
              <w:adjustRightInd w:val="0"/>
              <w:rPr>
                <w:rFonts w:ascii="Verdana" w:hAnsi="Verdana" w:cs="Arial"/>
                <w:color w:val="183850" w:themeColor="text1"/>
                <w:sz w:val="20"/>
                <w:szCs w:val="20"/>
              </w:rPr>
            </w:pPr>
            <w:r w:rsidRPr="003B4083">
              <w:rPr>
                <w:rFonts w:ascii="Verdana" w:hAnsi="Verdana" w:cs="Arial"/>
                <w:color w:val="183850" w:themeColor="text1"/>
                <w:sz w:val="20"/>
                <w:szCs w:val="20"/>
              </w:rPr>
              <w:t>Claims confirmed and filed</w:t>
            </w:r>
            <w:r w:rsidRPr="003B4083">
              <w:rPr>
                <w:rFonts w:ascii="Verdana" w:hAnsi="Verdana" w:cs="Arial"/>
                <w:color w:val="183850" w:themeColor="text1"/>
                <w:sz w:val="20"/>
                <w:szCs w:val="20"/>
              </w:rPr>
              <w:t xml:space="preserve"> on behalf of LCPF</w:t>
            </w:r>
          </w:p>
        </w:tc>
        <w:tc>
          <w:tcPr>
            <w:tcW w:w="567" w:type="dxa"/>
          </w:tcPr>
          <w:p w:rsidR="00EC3178" w:rsidRPr="003B4083" w:rsidRDefault="00067BC0" w:rsidP="003B4083">
            <w:pPr>
              <w:autoSpaceDE w:val="0"/>
              <w:autoSpaceDN w:val="0"/>
              <w:adjustRightInd w:val="0"/>
              <w:jc w:val="right"/>
              <w:rPr>
                <w:rFonts w:ascii="Verdana" w:hAnsi="Verdana" w:cs="Arial"/>
                <w:color w:val="183850" w:themeColor="text1"/>
                <w:sz w:val="20"/>
                <w:szCs w:val="20"/>
              </w:rPr>
            </w:pPr>
            <w:r w:rsidRPr="003B4083">
              <w:rPr>
                <w:rFonts w:ascii="Verdana" w:hAnsi="Verdana" w:cs="Arial"/>
                <w:color w:val="183850" w:themeColor="text1"/>
                <w:sz w:val="20"/>
                <w:szCs w:val="20"/>
              </w:rPr>
              <w:t>7</w:t>
            </w:r>
          </w:p>
          <w:p w:rsidR="00EC3178" w:rsidRPr="003B4083" w:rsidRDefault="00067BC0" w:rsidP="003B4083">
            <w:pPr>
              <w:autoSpaceDE w:val="0"/>
              <w:autoSpaceDN w:val="0"/>
              <w:adjustRightInd w:val="0"/>
              <w:jc w:val="right"/>
              <w:rPr>
                <w:rFonts w:ascii="Verdana" w:hAnsi="Verdana" w:cs="Arial"/>
                <w:color w:val="183850" w:themeColor="text1"/>
                <w:sz w:val="20"/>
                <w:szCs w:val="20"/>
              </w:rPr>
            </w:pPr>
          </w:p>
        </w:tc>
      </w:tr>
      <w:tr w:rsidR="003A433B" w:rsidTr="007960A9">
        <w:trPr>
          <w:trHeight w:val="406"/>
        </w:trPr>
        <w:tc>
          <w:tcPr>
            <w:tcW w:w="7371" w:type="dxa"/>
          </w:tcPr>
          <w:p w:rsidR="00EC3178" w:rsidRPr="003B4083" w:rsidRDefault="00067BC0" w:rsidP="003B4083">
            <w:pPr>
              <w:autoSpaceDE w:val="0"/>
              <w:autoSpaceDN w:val="0"/>
              <w:adjustRightInd w:val="0"/>
              <w:rPr>
                <w:rFonts w:ascii="Verdana" w:hAnsi="Verdana" w:cs="Arial"/>
                <w:color w:val="183850" w:themeColor="text1"/>
                <w:sz w:val="20"/>
                <w:szCs w:val="20"/>
              </w:rPr>
            </w:pPr>
            <w:r w:rsidRPr="003B4083">
              <w:rPr>
                <w:rFonts w:ascii="Verdana" w:hAnsi="Verdana" w:cs="Arial"/>
                <w:color w:val="183850" w:themeColor="text1"/>
                <w:sz w:val="20"/>
                <w:szCs w:val="20"/>
              </w:rPr>
              <w:t xml:space="preserve">Claims potentially identified but subject to further review </w:t>
            </w:r>
          </w:p>
        </w:tc>
        <w:tc>
          <w:tcPr>
            <w:tcW w:w="567" w:type="dxa"/>
          </w:tcPr>
          <w:p w:rsidR="00EC3178" w:rsidRPr="003B4083" w:rsidRDefault="00067BC0" w:rsidP="003B4083">
            <w:pPr>
              <w:autoSpaceDE w:val="0"/>
              <w:autoSpaceDN w:val="0"/>
              <w:adjustRightInd w:val="0"/>
              <w:jc w:val="right"/>
              <w:rPr>
                <w:rFonts w:ascii="Verdana" w:hAnsi="Verdana" w:cs="Arial"/>
                <w:color w:val="183850" w:themeColor="text1"/>
                <w:sz w:val="20"/>
                <w:szCs w:val="20"/>
              </w:rPr>
            </w:pPr>
            <w:r w:rsidRPr="003B4083">
              <w:rPr>
                <w:rFonts w:ascii="Verdana" w:hAnsi="Verdana" w:cs="Arial"/>
                <w:color w:val="183850" w:themeColor="text1"/>
                <w:sz w:val="20"/>
                <w:szCs w:val="20"/>
              </w:rPr>
              <w:t>5</w:t>
            </w:r>
          </w:p>
          <w:p w:rsidR="00EC3178" w:rsidRPr="003B4083" w:rsidRDefault="00067BC0" w:rsidP="003B4083">
            <w:pPr>
              <w:autoSpaceDE w:val="0"/>
              <w:autoSpaceDN w:val="0"/>
              <w:adjustRightInd w:val="0"/>
              <w:jc w:val="right"/>
              <w:rPr>
                <w:rFonts w:ascii="Verdana" w:hAnsi="Verdana" w:cs="Arial"/>
                <w:color w:val="183850" w:themeColor="text1"/>
                <w:sz w:val="20"/>
                <w:szCs w:val="20"/>
              </w:rPr>
            </w:pPr>
          </w:p>
        </w:tc>
      </w:tr>
      <w:tr w:rsidR="003A433B" w:rsidTr="007960A9">
        <w:trPr>
          <w:trHeight w:val="518"/>
        </w:trPr>
        <w:tc>
          <w:tcPr>
            <w:tcW w:w="7371" w:type="dxa"/>
          </w:tcPr>
          <w:p w:rsidR="00EC3178" w:rsidRPr="003B4083" w:rsidRDefault="00067BC0" w:rsidP="003B4083">
            <w:pPr>
              <w:autoSpaceDE w:val="0"/>
              <w:autoSpaceDN w:val="0"/>
              <w:adjustRightInd w:val="0"/>
              <w:rPr>
                <w:rFonts w:ascii="Verdana" w:hAnsi="Verdana" w:cs="Arial"/>
                <w:color w:val="183850" w:themeColor="text1"/>
                <w:sz w:val="20"/>
                <w:szCs w:val="20"/>
              </w:rPr>
            </w:pPr>
            <w:r w:rsidRPr="003B4083">
              <w:rPr>
                <w:rFonts w:ascii="Verdana" w:hAnsi="Verdana" w:cs="Arial"/>
                <w:color w:val="183850" w:themeColor="text1"/>
                <w:sz w:val="20"/>
                <w:szCs w:val="20"/>
              </w:rPr>
              <w:t xml:space="preserve">Confirmation of no </w:t>
            </w:r>
            <w:r w:rsidRPr="003B4083">
              <w:rPr>
                <w:rFonts w:ascii="Verdana" w:hAnsi="Verdana" w:cs="Arial"/>
                <w:color w:val="183850" w:themeColor="text1"/>
                <w:sz w:val="20"/>
                <w:szCs w:val="20"/>
              </w:rPr>
              <w:t>entitlement to join a class action</w:t>
            </w:r>
          </w:p>
        </w:tc>
        <w:tc>
          <w:tcPr>
            <w:tcW w:w="567" w:type="dxa"/>
          </w:tcPr>
          <w:p w:rsidR="00EC3178" w:rsidRPr="003B4083" w:rsidRDefault="00067BC0" w:rsidP="003B4083">
            <w:pPr>
              <w:jc w:val="right"/>
              <w:rPr>
                <w:rFonts w:ascii="Verdana" w:hAnsi="Verdana"/>
                <w:b/>
                <w:color w:val="183850" w:themeColor="text1"/>
                <w:sz w:val="20"/>
                <w:szCs w:val="20"/>
              </w:rPr>
            </w:pPr>
            <w:r w:rsidRPr="003B4083">
              <w:rPr>
                <w:rFonts w:ascii="Verdana" w:hAnsi="Verdana" w:cs="Arial"/>
                <w:color w:val="183850" w:themeColor="text1"/>
                <w:sz w:val="20"/>
                <w:szCs w:val="20"/>
              </w:rPr>
              <w:t>35</w:t>
            </w:r>
          </w:p>
          <w:p w:rsidR="00EC3178" w:rsidRPr="003B4083" w:rsidRDefault="00067BC0" w:rsidP="003B4083">
            <w:pPr>
              <w:autoSpaceDE w:val="0"/>
              <w:autoSpaceDN w:val="0"/>
              <w:adjustRightInd w:val="0"/>
              <w:ind w:hanging="742"/>
              <w:jc w:val="right"/>
              <w:rPr>
                <w:rFonts w:ascii="Verdana" w:hAnsi="Verdana" w:cs="Arial"/>
                <w:color w:val="183850" w:themeColor="text1"/>
                <w:sz w:val="20"/>
                <w:szCs w:val="20"/>
              </w:rPr>
            </w:pPr>
          </w:p>
        </w:tc>
      </w:tr>
    </w:tbl>
    <w:p w:rsidR="00EC3178" w:rsidRDefault="00067BC0" w:rsidP="003B4083">
      <w:pPr>
        <w:autoSpaceDE w:val="0"/>
        <w:autoSpaceDN w:val="0"/>
        <w:adjustRightInd w:val="0"/>
        <w:spacing w:after="0"/>
        <w:rPr>
          <w:rFonts w:ascii="Verdana" w:hAnsi="Verdana" w:cs="Arial"/>
          <w:sz w:val="20"/>
          <w:szCs w:val="20"/>
        </w:rPr>
      </w:pPr>
    </w:p>
    <w:p w:rsidR="007E381E" w:rsidRPr="00F23661" w:rsidRDefault="00067BC0" w:rsidP="003B4083">
      <w:pPr>
        <w:pStyle w:val="Default"/>
        <w:rPr>
          <w:rFonts w:ascii="Verdana" w:hAnsi="Verdana" w:cs="Arial"/>
          <w:b/>
          <w:bCs/>
          <w:color w:val="54BBAB" w:themeColor="text2"/>
          <w:sz w:val="20"/>
          <w:szCs w:val="20"/>
        </w:rPr>
      </w:pPr>
    </w:p>
    <w:p w:rsidR="00197BA3" w:rsidRPr="00F23661" w:rsidRDefault="00067BC0"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F23661">
        <w:rPr>
          <w:rFonts w:ascii="Verdana" w:hAnsi="Verdana" w:cs="Arial"/>
          <w:b/>
          <w:bCs/>
          <w:color w:val="54BBAB" w:themeColor="text2"/>
          <w:sz w:val="20"/>
          <w:szCs w:val="20"/>
        </w:rPr>
        <w:t>Active Investing</w:t>
      </w:r>
    </w:p>
    <w:p w:rsidR="001B6BBC" w:rsidRPr="00F23661" w:rsidRDefault="00067BC0" w:rsidP="003B4083">
      <w:pPr>
        <w:pStyle w:val="Default"/>
        <w:rPr>
          <w:rFonts w:ascii="Verdana" w:hAnsi="Verdana"/>
          <w:iCs/>
          <w:sz w:val="20"/>
          <w:szCs w:val="20"/>
        </w:rPr>
      </w:pPr>
    </w:p>
    <w:p w:rsidR="001B6BBC" w:rsidRPr="003B4083" w:rsidRDefault="00067BC0" w:rsidP="003B4083">
      <w:pPr>
        <w:pStyle w:val="Default"/>
        <w:rPr>
          <w:rFonts w:ascii="Verdana" w:hAnsi="Verdana"/>
          <w:iCs/>
          <w:color w:val="183850" w:themeColor="text1"/>
          <w:sz w:val="20"/>
          <w:szCs w:val="20"/>
        </w:rPr>
      </w:pPr>
      <w:r w:rsidRPr="003B4083">
        <w:rPr>
          <w:rFonts w:ascii="Verdana" w:hAnsi="Verdana"/>
          <w:iCs/>
          <w:color w:val="183850" w:themeColor="text1"/>
          <w:sz w:val="20"/>
          <w:szCs w:val="20"/>
        </w:rPr>
        <w:t xml:space="preserve">This section of the RI report is dedicated to updating the Committee on </w:t>
      </w:r>
      <w:r w:rsidRPr="003B4083">
        <w:rPr>
          <w:rFonts w:ascii="Verdana" w:hAnsi="Verdana"/>
          <w:iCs/>
          <w:color w:val="183850" w:themeColor="text1"/>
          <w:sz w:val="20"/>
          <w:szCs w:val="20"/>
        </w:rPr>
        <w:t>new</w:t>
      </w:r>
      <w:r w:rsidRPr="003B4083">
        <w:rPr>
          <w:rFonts w:ascii="Verdana" w:hAnsi="Verdana"/>
          <w:iCs/>
          <w:color w:val="183850" w:themeColor="text1"/>
          <w:sz w:val="20"/>
          <w:szCs w:val="20"/>
        </w:rPr>
        <w:t xml:space="preserve"> </w:t>
      </w:r>
      <w:r w:rsidRPr="003B4083">
        <w:rPr>
          <w:rFonts w:ascii="Verdana" w:hAnsi="Verdana"/>
          <w:iCs/>
          <w:color w:val="183850" w:themeColor="text1"/>
          <w:sz w:val="20"/>
          <w:szCs w:val="20"/>
        </w:rPr>
        <w:t>developments within stewardship and RI and interpreting these within the context of the Fund's responsibilities and interests.</w:t>
      </w:r>
    </w:p>
    <w:p w:rsidR="001B6BBC" w:rsidRPr="003B4083" w:rsidRDefault="00067BC0" w:rsidP="003B4083">
      <w:pPr>
        <w:autoSpaceDE w:val="0"/>
        <w:autoSpaceDN w:val="0"/>
        <w:adjustRightInd w:val="0"/>
        <w:spacing w:after="0" w:line="240" w:lineRule="auto"/>
        <w:rPr>
          <w:rFonts w:ascii="Verdana" w:hAnsi="Verdana" w:cs="Verdana"/>
          <w:color w:val="183850" w:themeColor="text1"/>
          <w:sz w:val="20"/>
          <w:szCs w:val="20"/>
        </w:rPr>
      </w:pPr>
    </w:p>
    <w:p w:rsidR="007960A9" w:rsidRPr="003B4083" w:rsidRDefault="00067BC0" w:rsidP="003B4083">
      <w:pPr>
        <w:autoSpaceDE w:val="0"/>
        <w:autoSpaceDN w:val="0"/>
        <w:adjustRightInd w:val="0"/>
        <w:spacing w:after="0" w:line="240" w:lineRule="auto"/>
        <w:rPr>
          <w:rFonts w:ascii="Verdana" w:hAnsi="Verdana" w:cs="Verdana"/>
          <w:b/>
          <w:color w:val="183850" w:themeColor="text1"/>
          <w:sz w:val="20"/>
          <w:szCs w:val="20"/>
        </w:rPr>
      </w:pPr>
      <w:r w:rsidRPr="003B4083">
        <w:rPr>
          <w:rFonts w:ascii="Verdana" w:hAnsi="Verdana" w:cs="Verdana"/>
          <w:b/>
          <w:color w:val="183850" w:themeColor="text1"/>
          <w:sz w:val="20"/>
          <w:szCs w:val="20"/>
        </w:rPr>
        <w:t xml:space="preserve">The Pensions Regulator - </w:t>
      </w:r>
      <w:r w:rsidRPr="003B4083">
        <w:rPr>
          <w:rFonts w:ascii="Verdana" w:hAnsi="Verdana" w:cs="Verdana"/>
          <w:b/>
          <w:color w:val="183850" w:themeColor="text1"/>
          <w:sz w:val="20"/>
          <w:szCs w:val="20"/>
        </w:rPr>
        <w:t xml:space="preserve">New </w:t>
      </w:r>
      <w:r w:rsidRPr="003B4083">
        <w:rPr>
          <w:rFonts w:ascii="Verdana" w:hAnsi="Verdana" w:cs="Verdana"/>
          <w:b/>
          <w:color w:val="183850" w:themeColor="text1"/>
          <w:sz w:val="20"/>
          <w:szCs w:val="20"/>
        </w:rPr>
        <w:t xml:space="preserve">Investment </w:t>
      </w:r>
      <w:r w:rsidRPr="003B4083">
        <w:rPr>
          <w:rFonts w:ascii="Verdana" w:hAnsi="Verdana" w:cs="Verdana"/>
          <w:b/>
          <w:color w:val="183850" w:themeColor="text1"/>
          <w:sz w:val="20"/>
          <w:szCs w:val="20"/>
        </w:rPr>
        <w:t xml:space="preserve">Guidance </w:t>
      </w:r>
      <w:r>
        <w:rPr>
          <w:rFonts w:ascii="Verdana" w:hAnsi="Verdana" w:cs="Verdana"/>
          <w:b/>
          <w:color w:val="183850" w:themeColor="text1"/>
          <w:sz w:val="20"/>
          <w:szCs w:val="20"/>
        </w:rPr>
        <w:t xml:space="preserve">for DB </w:t>
      </w:r>
      <w:r w:rsidRPr="003B4083">
        <w:rPr>
          <w:rFonts w:ascii="Verdana" w:hAnsi="Verdana" w:cs="Verdana"/>
          <w:b/>
          <w:color w:val="183850" w:themeColor="text1"/>
          <w:sz w:val="20"/>
          <w:szCs w:val="20"/>
        </w:rPr>
        <w:t xml:space="preserve">Schemes </w:t>
      </w:r>
    </w:p>
    <w:p w:rsidR="008E62D7" w:rsidRDefault="00067BC0" w:rsidP="003B4083">
      <w:pPr>
        <w:autoSpaceDE w:val="0"/>
        <w:autoSpaceDN w:val="0"/>
        <w:adjustRightInd w:val="0"/>
        <w:spacing w:after="0" w:line="240" w:lineRule="auto"/>
        <w:rPr>
          <w:rFonts w:ascii="Verdana" w:hAnsi="Verdana" w:cs="Verdana"/>
          <w:color w:val="183850" w:themeColor="text1"/>
          <w:sz w:val="20"/>
          <w:szCs w:val="20"/>
        </w:rPr>
      </w:pPr>
    </w:p>
    <w:p w:rsidR="00404A07" w:rsidRDefault="00067BC0" w:rsidP="003B4083">
      <w:pPr>
        <w:autoSpaceDE w:val="0"/>
        <w:autoSpaceDN w:val="0"/>
        <w:adjustRightInd w:val="0"/>
        <w:spacing w:after="0" w:line="240" w:lineRule="auto"/>
        <w:rPr>
          <w:rFonts w:ascii="Verdana" w:hAnsi="Verdana" w:cs="Verdana"/>
          <w:sz w:val="20"/>
          <w:szCs w:val="20"/>
        </w:rPr>
      </w:pPr>
      <w:r w:rsidRPr="003B4083">
        <w:rPr>
          <w:rFonts w:ascii="Verdana" w:hAnsi="Verdana" w:cs="Verdana"/>
          <w:color w:val="183850" w:themeColor="text1"/>
          <w:sz w:val="20"/>
          <w:szCs w:val="20"/>
        </w:rPr>
        <w:t>In March 2017 t</w:t>
      </w:r>
      <w:r w:rsidRPr="003B4083">
        <w:rPr>
          <w:rFonts w:ascii="Verdana" w:hAnsi="Verdana" w:cs="Verdana"/>
          <w:color w:val="183850" w:themeColor="text1"/>
          <w:sz w:val="20"/>
          <w:szCs w:val="20"/>
        </w:rPr>
        <w:t xml:space="preserve">he Pensions Regulator </w:t>
      </w:r>
      <w:r w:rsidRPr="003B4083">
        <w:rPr>
          <w:rFonts w:ascii="Verdana" w:hAnsi="Verdana" w:cs="Verdana"/>
          <w:color w:val="183850" w:themeColor="text1"/>
          <w:sz w:val="20"/>
          <w:szCs w:val="20"/>
        </w:rPr>
        <w:t xml:space="preserve">released new </w:t>
      </w:r>
      <w:r w:rsidRPr="003B4083">
        <w:rPr>
          <w:rFonts w:ascii="Verdana" w:hAnsi="Verdana" w:cs="Verdana"/>
          <w:color w:val="183850" w:themeColor="text1"/>
          <w:sz w:val="20"/>
          <w:szCs w:val="20"/>
        </w:rPr>
        <w:t>I</w:t>
      </w:r>
      <w:r w:rsidRPr="003B4083">
        <w:rPr>
          <w:rFonts w:ascii="Verdana" w:hAnsi="Verdana" w:cs="Verdana"/>
          <w:color w:val="183850" w:themeColor="text1"/>
          <w:sz w:val="20"/>
          <w:szCs w:val="20"/>
        </w:rPr>
        <w:t xml:space="preserve">nvestment </w:t>
      </w:r>
      <w:r w:rsidRPr="003B4083">
        <w:rPr>
          <w:rFonts w:ascii="Verdana" w:hAnsi="Verdana" w:cs="Verdana"/>
          <w:color w:val="183850" w:themeColor="text1"/>
          <w:sz w:val="20"/>
          <w:szCs w:val="20"/>
        </w:rPr>
        <w:t>G</w:t>
      </w:r>
      <w:r w:rsidRPr="003B4083">
        <w:rPr>
          <w:rFonts w:ascii="Verdana" w:hAnsi="Verdana" w:cs="Verdana"/>
          <w:color w:val="183850" w:themeColor="text1"/>
          <w:sz w:val="20"/>
          <w:szCs w:val="20"/>
        </w:rPr>
        <w:t xml:space="preserve">uidance </w:t>
      </w:r>
      <w:r w:rsidRPr="003B4083">
        <w:rPr>
          <w:rFonts w:ascii="Verdana" w:hAnsi="Verdana" w:cs="Verdana"/>
          <w:color w:val="183850" w:themeColor="text1"/>
          <w:sz w:val="20"/>
          <w:szCs w:val="20"/>
        </w:rPr>
        <w:t>for</w:t>
      </w:r>
      <w:r w:rsidRPr="003B4083">
        <w:rPr>
          <w:rFonts w:ascii="Verdana" w:hAnsi="Verdana" w:cs="Verdana"/>
          <w:color w:val="183850" w:themeColor="text1"/>
          <w:sz w:val="20"/>
          <w:szCs w:val="20"/>
        </w:rPr>
        <w:t xml:space="preserve"> the T</w:t>
      </w:r>
      <w:r w:rsidRPr="003B4083">
        <w:rPr>
          <w:rFonts w:ascii="Verdana" w:hAnsi="Verdana" w:cs="Verdana"/>
          <w:color w:val="183850" w:themeColor="text1"/>
          <w:sz w:val="20"/>
          <w:szCs w:val="20"/>
        </w:rPr>
        <w:t>rustees of defined b</w:t>
      </w:r>
      <w:r w:rsidRPr="003B4083">
        <w:rPr>
          <w:rFonts w:ascii="Verdana" w:hAnsi="Verdana" w:cs="Verdana"/>
          <w:color w:val="183850" w:themeColor="text1"/>
          <w:sz w:val="20"/>
          <w:szCs w:val="20"/>
        </w:rPr>
        <w:t>enefit pension</w:t>
      </w:r>
      <w:r w:rsidRPr="003B4083">
        <w:rPr>
          <w:rFonts w:ascii="Verdana" w:hAnsi="Verdana" w:cs="Verdana"/>
          <w:color w:val="183850" w:themeColor="text1"/>
          <w:sz w:val="20"/>
          <w:szCs w:val="20"/>
        </w:rPr>
        <w:t xml:space="preserve"> schemes</w:t>
      </w:r>
      <w:r w:rsidRPr="003B4083">
        <w:rPr>
          <w:rFonts w:ascii="Verdana" w:hAnsi="Verdana" w:cs="Verdana"/>
          <w:color w:val="183850" w:themeColor="text1"/>
          <w:sz w:val="20"/>
          <w:szCs w:val="20"/>
        </w:rPr>
        <w:t xml:space="preserve"> which is available from the Regulator's </w:t>
      </w:r>
      <w:r w:rsidRPr="001275B3">
        <w:rPr>
          <w:rFonts w:ascii="Verdana" w:hAnsi="Verdana" w:cs="Verdana"/>
          <w:color w:val="183850" w:themeColor="text1"/>
          <w:sz w:val="20"/>
          <w:szCs w:val="20"/>
        </w:rPr>
        <w:t>website</w:t>
      </w:r>
      <w:r w:rsidRPr="000C5321">
        <w:rPr>
          <w:rFonts w:ascii="Verdana" w:hAnsi="Verdana" w:cs="Verdana"/>
          <w:color w:val="438EC6" w:themeColor="text1" w:themeTint="99"/>
          <w:sz w:val="20"/>
          <w:szCs w:val="20"/>
        </w:rPr>
        <w:t xml:space="preserve"> </w:t>
      </w:r>
      <w:hyperlink r:id="rId11" w:history="1">
        <w:r w:rsidRPr="000C5321">
          <w:rPr>
            <w:rStyle w:val="Hyperlink"/>
            <w:rFonts w:ascii="Verdana" w:hAnsi="Verdana" w:cs="Verdana"/>
            <w:color w:val="438EC6" w:themeColor="text1" w:themeTint="99"/>
            <w:sz w:val="20"/>
            <w:szCs w:val="20"/>
          </w:rPr>
          <w:t>http://www.thepensionsregulator.gov.uk/guidance/db-investment.aspx</w:t>
        </w:r>
      </w:hyperlink>
      <w:r>
        <w:rPr>
          <w:rFonts w:ascii="Verdana" w:hAnsi="Verdana" w:cs="Verdana"/>
          <w:sz w:val="20"/>
          <w:szCs w:val="20"/>
        </w:rPr>
        <w:t xml:space="preserve">.  </w:t>
      </w:r>
    </w:p>
    <w:p w:rsidR="00A643C4" w:rsidRPr="00791E35" w:rsidRDefault="00067BC0" w:rsidP="003B4083">
      <w:pPr>
        <w:autoSpaceDE w:val="0"/>
        <w:autoSpaceDN w:val="0"/>
        <w:adjustRightInd w:val="0"/>
        <w:spacing w:after="0" w:line="240" w:lineRule="auto"/>
        <w:rPr>
          <w:rFonts w:ascii="Verdana" w:hAnsi="Verdana" w:cs="Verdana"/>
          <w:sz w:val="20"/>
          <w:szCs w:val="20"/>
        </w:rPr>
      </w:pPr>
      <w:r w:rsidRPr="00791E35">
        <w:rPr>
          <w:rFonts w:ascii="Verdana" w:hAnsi="Verdana" w:cs="Verdana"/>
          <w:sz w:val="20"/>
          <w:szCs w:val="20"/>
        </w:rPr>
        <w:t>The guidance provides assistance in meeting standards set out in Code of Practice 3 (The Defined Benefi</w:t>
      </w:r>
      <w:r w:rsidRPr="00791E35">
        <w:rPr>
          <w:rFonts w:ascii="Verdana" w:hAnsi="Verdana" w:cs="Verdana"/>
          <w:sz w:val="20"/>
          <w:szCs w:val="20"/>
        </w:rPr>
        <w:t xml:space="preserve">t Funding Code) and provides practical information and </w:t>
      </w:r>
      <w:r w:rsidRPr="00791E35">
        <w:rPr>
          <w:rFonts w:ascii="Verdana" w:hAnsi="Verdana" w:cs="Verdana"/>
          <w:sz w:val="20"/>
          <w:szCs w:val="20"/>
        </w:rPr>
        <w:t xml:space="preserve">illustrative </w:t>
      </w:r>
      <w:r w:rsidRPr="00791E35">
        <w:rPr>
          <w:rFonts w:ascii="Verdana" w:hAnsi="Verdana" w:cs="Verdana"/>
          <w:sz w:val="20"/>
          <w:szCs w:val="20"/>
        </w:rPr>
        <w:t>examples</w:t>
      </w:r>
      <w:r w:rsidRPr="00791E35">
        <w:rPr>
          <w:rFonts w:ascii="Verdana" w:hAnsi="Verdana" w:cs="Verdana"/>
          <w:sz w:val="20"/>
          <w:szCs w:val="20"/>
        </w:rPr>
        <w:t xml:space="preserve"> across six </w:t>
      </w:r>
      <w:r w:rsidRPr="00791E35">
        <w:rPr>
          <w:rFonts w:ascii="Verdana" w:hAnsi="Verdana" w:cs="Verdana"/>
          <w:sz w:val="20"/>
          <w:szCs w:val="20"/>
        </w:rPr>
        <w:t>sections</w:t>
      </w:r>
      <w:r w:rsidRPr="00791E35">
        <w:rPr>
          <w:rFonts w:ascii="Verdana" w:hAnsi="Verdana" w:cs="Verdana"/>
          <w:sz w:val="20"/>
          <w:szCs w:val="20"/>
        </w:rPr>
        <w:t>;</w:t>
      </w:r>
    </w:p>
    <w:p w:rsidR="00A643C4" w:rsidRPr="00791E35" w:rsidRDefault="00067BC0" w:rsidP="009F2C10">
      <w:pPr>
        <w:pStyle w:val="ListParagraph"/>
        <w:numPr>
          <w:ilvl w:val="0"/>
          <w:numId w:val="18"/>
        </w:numPr>
        <w:autoSpaceDE w:val="0"/>
        <w:autoSpaceDN w:val="0"/>
        <w:adjustRightInd w:val="0"/>
        <w:spacing w:after="0" w:line="240" w:lineRule="auto"/>
        <w:ind w:left="0" w:firstLine="0"/>
        <w:rPr>
          <w:rFonts w:ascii="Verdana" w:hAnsi="Verdana" w:cs="Verdana"/>
          <w:sz w:val="20"/>
          <w:szCs w:val="20"/>
        </w:rPr>
      </w:pPr>
      <w:r w:rsidRPr="00791E35">
        <w:rPr>
          <w:rFonts w:ascii="Verdana" w:hAnsi="Verdana" w:cs="Verdana"/>
          <w:sz w:val="20"/>
          <w:szCs w:val="20"/>
        </w:rPr>
        <w:t>Governance</w:t>
      </w:r>
      <w:r>
        <w:rPr>
          <w:rFonts w:ascii="Verdana" w:hAnsi="Verdana" w:cs="Verdana"/>
          <w:sz w:val="20"/>
          <w:szCs w:val="20"/>
        </w:rPr>
        <w:t>;</w:t>
      </w:r>
    </w:p>
    <w:p w:rsidR="00A643C4" w:rsidRPr="00791E35" w:rsidRDefault="00067BC0" w:rsidP="009F2C10">
      <w:pPr>
        <w:pStyle w:val="ListParagraph"/>
        <w:numPr>
          <w:ilvl w:val="0"/>
          <w:numId w:val="18"/>
        </w:numPr>
        <w:autoSpaceDE w:val="0"/>
        <w:autoSpaceDN w:val="0"/>
        <w:adjustRightInd w:val="0"/>
        <w:spacing w:after="0" w:line="240" w:lineRule="auto"/>
        <w:ind w:left="0" w:firstLine="0"/>
        <w:rPr>
          <w:rFonts w:ascii="Verdana" w:hAnsi="Verdana" w:cs="Verdana"/>
          <w:sz w:val="20"/>
          <w:szCs w:val="20"/>
        </w:rPr>
      </w:pPr>
      <w:r w:rsidRPr="00791E35">
        <w:rPr>
          <w:rFonts w:ascii="Verdana" w:hAnsi="Verdana" w:cs="Verdana"/>
          <w:sz w:val="20"/>
          <w:szCs w:val="20"/>
        </w:rPr>
        <w:t>Investing to Fund DB</w:t>
      </w:r>
      <w:r>
        <w:rPr>
          <w:rFonts w:ascii="Verdana" w:hAnsi="Verdana" w:cs="Verdana"/>
          <w:sz w:val="20"/>
          <w:szCs w:val="20"/>
        </w:rPr>
        <w:t>;</w:t>
      </w:r>
    </w:p>
    <w:p w:rsidR="00A643C4" w:rsidRPr="00791E35" w:rsidRDefault="00067BC0" w:rsidP="009F2C10">
      <w:pPr>
        <w:pStyle w:val="ListParagraph"/>
        <w:numPr>
          <w:ilvl w:val="0"/>
          <w:numId w:val="18"/>
        </w:numPr>
        <w:autoSpaceDE w:val="0"/>
        <w:autoSpaceDN w:val="0"/>
        <w:adjustRightInd w:val="0"/>
        <w:spacing w:after="0" w:line="240" w:lineRule="auto"/>
        <w:ind w:left="0" w:firstLine="0"/>
        <w:rPr>
          <w:rFonts w:ascii="Verdana" w:hAnsi="Verdana" w:cs="Verdana"/>
          <w:sz w:val="20"/>
          <w:szCs w:val="20"/>
        </w:rPr>
      </w:pPr>
      <w:r w:rsidRPr="00791E35">
        <w:rPr>
          <w:rFonts w:ascii="Verdana" w:hAnsi="Verdana" w:cs="Verdana"/>
          <w:sz w:val="20"/>
          <w:szCs w:val="20"/>
        </w:rPr>
        <w:t>Matching Assets</w:t>
      </w:r>
      <w:r>
        <w:rPr>
          <w:rFonts w:ascii="Verdana" w:hAnsi="Verdana" w:cs="Verdana"/>
          <w:sz w:val="20"/>
          <w:szCs w:val="20"/>
        </w:rPr>
        <w:t>;</w:t>
      </w:r>
    </w:p>
    <w:p w:rsidR="00A643C4" w:rsidRPr="00791E35" w:rsidRDefault="00067BC0" w:rsidP="009F2C10">
      <w:pPr>
        <w:pStyle w:val="ListParagraph"/>
        <w:numPr>
          <w:ilvl w:val="0"/>
          <w:numId w:val="18"/>
        </w:numPr>
        <w:autoSpaceDE w:val="0"/>
        <w:autoSpaceDN w:val="0"/>
        <w:adjustRightInd w:val="0"/>
        <w:spacing w:after="0" w:line="240" w:lineRule="auto"/>
        <w:ind w:left="0" w:firstLine="0"/>
        <w:rPr>
          <w:rFonts w:ascii="Verdana" w:hAnsi="Verdana" w:cs="Verdana"/>
          <w:sz w:val="20"/>
          <w:szCs w:val="20"/>
        </w:rPr>
      </w:pPr>
      <w:r w:rsidRPr="00791E35">
        <w:rPr>
          <w:rFonts w:ascii="Verdana" w:hAnsi="Verdana" w:cs="Verdana"/>
          <w:sz w:val="20"/>
          <w:szCs w:val="20"/>
        </w:rPr>
        <w:lastRenderedPageBreak/>
        <w:t>Growth Assets</w:t>
      </w:r>
      <w:r>
        <w:rPr>
          <w:rFonts w:ascii="Verdana" w:hAnsi="Verdana" w:cs="Verdana"/>
          <w:sz w:val="20"/>
          <w:szCs w:val="20"/>
        </w:rPr>
        <w:t>;</w:t>
      </w:r>
    </w:p>
    <w:p w:rsidR="00A643C4" w:rsidRPr="00791E35" w:rsidRDefault="00067BC0" w:rsidP="009F2C10">
      <w:pPr>
        <w:pStyle w:val="ListParagraph"/>
        <w:numPr>
          <w:ilvl w:val="0"/>
          <w:numId w:val="18"/>
        </w:numPr>
        <w:autoSpaceDE w:val="0"/>
        <w:autoSpaceDN w:val="0"/>
        <w:adjustRightInd w:val="0"/>
        <w:spacing w:after="0" w:line="240" w:lineRule="auto"/>
        <w:ind w:left="0" w:firstLine="0"/>
        <w:rPr>
          <w:rFonts w:ascii="Verdana" w:hAnsi="Verdana" w:cs="Verdana"/>
          <w:sz w:val="20"/>
          <w:szCs w:val="20"/>
        </w:rPr>
      </w:pPr>
      <w:r w:rsidRPr="00791E35">
        <w:rPr>
          <w:rFonts w:ascii="Verdana" w:hAnsi="Verdana" w:cs="Verdana"/>
          <w:sz w:val="20"/>
          <w:szCs w:val="20"/>
        </w:rPr>
        <w:t>Implementation and Monitoring</w:t>
      </w:r>
      <w:r>
        <w:rPr>
          <w:rFonts w:ascii="Verdana" w:hAnsi="Verdana" w:cs="Verdana"/>
          <w:sz w:val="20"/>
          <w:szCs w:val="20"/>
        </w:rPr>
        <w:t>.</w:t>
      </w:r>
    </w:p>
    <w:p w:rsidR="00A643C4" w:rsidRPr="00791E35" w:rsidRDefault="00067BC0" w:rsidP="003B4083">
      <w:pPr>
        <w:autoSpaceDE w:val="0"/>
        <w:autoSpaceDN w:val="0"/>
        <w:adjustRightInd w:val="0"/>
        <w:spacing w:after="0" w:line="240" w:lineRule="auto"/>
        <w:rPr>
          <w:rFonts w:ascii="Verdana" w:hAnsi="Verdana" w:cs="Verdana"/>
          <w:sz w:val="20"/>
          <w:szCs w:val="20"/>
        </w:rPr>
      </w:pPr>
    </w:p>
    <w:p w:rsidR="001275B3" w:rsidRPr="00BF042B" w:rsidRDefault="00067BC0" w:rsidP="003B4083">
      <w:pPr>
        <w:autoSpaceDE w:val="0"/>
        <w:autoSpaceDN w:val="0"/>
        <w:adjustRightInd w:val="0"/>
        <w:spacing w:after="0" w:line="240" w:lineRule="auto"/>
        <w:rPr>
          <w:rFonts w:ascii="Verdana" w:hAnsi="Verdana" w:cs="Verdana"/>
          <w:sz w:val="20"/>
          <w:szCs w:val="20"/>
        </w:rPr>
      </w:pPr>
      <w:r w:rsidRPr="00791E35">
        <w:rPr>
          <w:rFonts w:ascii="Verdana" w:hAnsi="Verdana" w:cs="Verdana"/>
          <w:sz w:val="20"/>
          <w:szCs w:val="20"/>
        </w:rPr>
        <w:t>Governance</w:t>
      </w:r>
      <w:r w:rsidRPr="00791E35">
        <w:rPr>
          <w:rFonts w:ascii="Verdana" w:hAnsi="Verdana" w:cs="Verdana"/>
          <w:sz w:val="20"/>
          <w:szCs w:val="20"/>
        </w:rPr>
        <w:t xml:space="preserve"> includes </w:t>
      </w:r>
      <w:r w:rsidRPr="00791E35">
        <w:rPr>
          <w:rFonts w:ascii="Verdana" w:hAnsi="Verdana" w:cs="Verdana"/>
          <w:sz w:val="20"/>
          <w:szCs w:val="20"/>
        </w:rPr>
        <w:t xml:space="preserve">a </w:t>
      </w:r>
      <w:r w:rsidRPr="00791E35">
        <w:rPr>
          <w:rFonts w:ascii="Verdana" w:hAnsi="Verdana" w:cs="Verdana"/>
          <w:sz w:val="20"/>
          <w:szCs w:val="20"/>
        </w:rPr>
        <w:t>sub-</w:t>
      </w:r>
      <w:r w:rsidRPr="00791E35">
        <w:rPr>
          <w:rFonts w:ascii="Verdana" w:hAnsi="Verdana" w:cs="Verdana"/>
          <w:sz w:val="20"/>
          <w:szCs w:val="20"/>
        </w:rPr>
        <w:t>section on Investment Stewardship</w:t>
      </w:r>
      <w:r w:rsidRPr="00791E35">
        <w:rPr>
          <w:rFonts w:ascii="Verdana" w:hAnsi="Verdana" w:cs="Verdana"/>
          <w:sz w:val="20"/>
          <w:szCs w:val="20"/>
        </w:rPr>
        <w:t xml:space="preserve"> in which trustees are encouraged to consider how and by whom the ownership rights associated with their </w:t>
      </w:r>
      <w:r w:rsidRPr="00BF042B">
        <w:rPr>
          <w:rFonts w:ascii="Verdana" w:hAnsi="Verdana" w:cs="Verdana"/>
          <w:sz w:val="20"/>
          <w:szCs w:val="20"/>
        </w:rPr>
        <w:t>investments are being exercised</w:t>
      </w:r>
      <w:r w:rsidRPr="00BF042B">
        <w:rPr>
          <w:rFonts w:ascii="Verdana" w:hAnsi="Verdana" w:cs="Verdana"/>
          <w:sz w:val="20"/>
          <w:szCs w:val="20"/>
        </w:rPr>
        <w:t>.</w:t>
      </w:r>
    </w:p>
    <w:p w:rsidR="00A643C4" w:rsidRPr="00BF042B" w:rsidRDefault="00067BC0" w:rsidP="003B4083">
      <w:pPr>
        <w:autoSpaceDE w:val="0"/>
        <w:autoSpaceDN w:val="0"/>
        <w:adjustRightInd w:val="0"/>
        <w:spacing w:after="0" w:line="240" w:lineRule="auto"/>
        <w:rPr>
          <w:rFonts w:ascii="Verdana" w:hAnsi="Verdana" w:cs="Verdana"/>
          <w:sz w:val="20"/>
          <w:szCs w:val="20"/>
        </w:rPr>
      </w:pPr>
    </w:p>
    <w:p w:rsidR="00325C9E" w:rsidRPr="00BF042B" w:rsidRDefault="00067BC0" w:rsidP="003B4083">
      <w:pPr>
        <w:autoSpaceDE w:val="0"/>
        <w:autoSpaceDN w:val="0"/>
        <w:adjustRightInd w:val="0"/>
        <w:spacing w:after="0" w:line="240" w:lineRule="auto"/>
        <w:rPr>
          <w:rFonts w:ascii="Verdana" w:hAnsi="Verdana" w:cs="Verdana"/>
          <w:sz w:val="20"/>
          <w:szCs w:val="20"/>
        </w:rPr>
      </w:pPr>
      <w:r w:rsidRPr="00BF042B">
        <w:rPr>
          <w:rFonts w:ascii="Verdana" w:hAnsi="Verdana" w:cs="Verdana"/>
          <w:sz w:val="20"/>
          <w:szCs w:val="20"/>
        </w:rPr>
        <w:t xml:space="preserve">Investing to Fund DB includes </w:t>
      </w:r>
      <w:r w:rsidRPr="00BF042B">
        <w:rPr>
          <w:rFonts w:ascii="Verdana" w:hAnsi="Verdana" w:cs="Verdana"/>
          <w:sz w:val="20"/>
          <w:szCs w:val="20"/>
        </w:rPr>
        <w:t>subsections</w:t>
      </w:r>
      <w:r w:rsidRPr="00BF042B">
        <w:rPr>
          <w:rFonts w:ascii="Verdana" w:hAnsi="Verdana" w:cs="Verdana"/>
          <w:sz w:val="20"/>
          <w:szCs w:val="20"/>
        </w:rPr>
        <w:t xml:space="preserve"> relating to stewardship and responsible investment themes which the </w:t>
      </w:r>
      <w:r w:rsidRPr="00BF042B">
        <w:rPr>
          <w:rFonts w:ascii="Verdana" w:hAnsi="Verdana" w:cs="Verdana"/>
          <w:sz w:val="20"/>
          <w:szCs w:val="20"/>
        </w:rPr>
        <w:t>Committee</w:t>
      </w:r>
      <w:r w:rsidRPr="00BF042B">
        <w:rPr>
          <w:rFonts w:ascii="Verdana" w:hAnsi="Verdana" w:cs="Verdana"/>
          <w:sz w:val="20"/>
          <w:szCs w:val="20"/>
        </w:rPr>
        <w:t xml:space="preserve"> may find useful</w:t>
      </w:r>
      <w:r w:rsidRPr="00BF042B">
        <w:rPr>
          <w:rFonts w:ascii="Verdana" w:hAnsi="Verdana" w:cs="Verdana"/>
          <w:sz w:val="20"/>
          <w:szCs w:val="20"/>
        </w:rPr>
        <w:t>, particularly those on developing investment beliefs</w:t>
      </w:r>
      <w:r w:rsidRPr="00BF042B">
        <w:rPr>
          <w:rFonts w:ascii="Verdana" w:hAnsi="Verdana" w:cs="Verdana"/>
          <w:sz w:val="20"/>
          <w:szCs w:val="20"/>
        </w:rPr>
        <w:t xml:space="preserve">, the consideration of financial and non-financial factors, sustainability, setting an appropriate investment strategy, </w:t>
      </w:r>
      <w:r w:rsidRPr="00BF042B">
        <w:rPr>
          <w:rFonts w:ascii="Verdana" w:hAnsi="Verdana" w:cs="Verdana"/>
          <w:sz w:val="20"/>
          <w:szCs w:val="20"/>
        </w:rPr>
        <w:t>understanding investment risks</w:t>
      </w:r>
      <w:r w:rsidRPr="00BF042B">
        <w:rPr>
          <w:rFonts w:ascii="Verdana" w:hAnsi="Verdana" w:cs="Verdana"/>
          <w:sz w:val="20"/>
          <w:szCs w:val="20"/>
        </w:rPr>
        <w:t xml:space="preserve"> and monitoring</w:t>
      </w:r>
      <w:r w:rsidRPr="00BF042B">
        <w:rPr>
          <w:rFonts w:ascii="Verdana" w:hAnsi="Verdana" w:cs="Verdana"/>
          <w:sz w:val="20"/>
          <w:szCs w:val="20"/>
        </w:rPr>
        <w:t>.</w:t>
      </w:r>
    </w:p>
    <w:p w:rsidR="00325C9E" w:rsidRPr="00BF042B" w:rsidRDefault="00067BC0" w:rsidP="003B4083">
      <w:pPr>
        <w:autoSpaceDE w:val="0"/>
        <w:autoSpaceDN w:val="0"/>
        <w:adjustRightInd w:val="0"/>
        <w:spacing w:after="0" w:line="240" w:lineRule="auto"/>
        <w:rPr>
          <w:rFonts w:ascii="Verdana" w:hAnsi="Verdana" w:cs="Verdana"/>
          <w:sz w:val="20"/>
          <w:szCs w:val="20"/>
        </w:rPr>
      </w:pPr>
    </w:p>
    <w:p w:rsidR="00791E35" w:rsidRPr="00BF042B" w:rsidRDefault="00067BC0" w:rsidP="003B4083">
      <w:pPr>
        <w:autoSpaceDE w:val="0"/>
        <w:autoSpaceDN w:val="0"/>
        <w:adjustRightInd w:val="0"/>
        <w:spacing w:after="0" w:line="240" w:lineRule="auto"/>
        <w:rPr>
          <w:rFonts w:ascii="Verdana" w:hAnsi="Verdana"/>
          <w:sz w:val="20"/>
          <w:szCs w:val="20"/>
        </w:rPr>
      </w:pPr>
      <w:r w:rsidRPr="00BF042B">
        <w:rPr>
          <w:rFonts w:ascii="Verdana" w:hAnsi="Verdana" w:cs="Verdana"/>
          <w:sz w:val="20"/>
          <w:szCs w:val="20"/>
        </w:rPr>
        <w:t>It is nota</w:t>
      </w:r>
      <w:r w:rsidRPr="00BF042B">
        <w:rPr>
          <w:rFonts w:ascii="Verdana" w:hAnsi="Verdana" w:cs="Verdana"/>
          <w:sz w:val="20"/>
          <w:szCs w:val="20"/>
        </w:rPr>
        <w:t xml:space="preserve">ble that within the section on financial and non-financial factors the Regulator has clarified that where trustees think </w:t>
      </w:r>
      <w:r w:rsidRPr="00BF042B">
        <w:rPr>
          <w:rFonts w:ascii="Verdana" w:hAnsi="Verdana"/>
          <w:sz w:val="20"/>
          <w:szCs w:val="20"/>
        </w:rPr>
        <w:t>environmental, social and governance (ESG) factors or ethical issues are financially material, they should be taken into account whe</w:t>
      </w:r>
      <w:r w:rsidRPr="00BF042B">
        <w:rPr>
          <w:rFonts w:ascii="Verdana" w:hAnsi="Verdana"/>
          <w:sz w:val="20"/>
          <w:szCs w:val="20"/>
        </w:rPr>
        <w:t>n m</w:t>
      </w:r>
      <w:r w:rsidRPr="00BF042B">
        <w:rPr>
          <w:rFonts w:ascii="Verdana" w:hAnsi="Verdana"/>
          <w:sz w:val="20"/>
          <w:szCs w:val="20"/>
        </w:rPr>
        <w:t xml:space="preserve">aking investment decisions.  </w:t>
      </w:r>
      <w:r w:rsidRPr="00BF042B">
        <w:rPr>
          <w:rFonts w:ascii="Verdana" w:hAnsi="Verdana"/>
          <w:sz w:val="20"/>
          <w:szCs w:val="20"/>
        </w:rPr>
        <w:t xml:space="preserve">Also of note </w:t>
      </w:r>
      <w:r>
        <w:rPr>
          <w:rFonts w:ascii="Verdana" w:hAnsi="Verdana"/>
          <w:sz w:val="20"/>
          <w:szCs w:val="20"/>
        </w:rPr>
        <w:t>are</w:t>
      </w:r>
      <w:r w:rsidRPr="00BF042B">
        <w:rPr>
          <w:rFonts w:ascii="Verdana" w:hAnsi="Verdana"/>
          <w:sz w:val="20"/>
          <w:szCs w:val="20"/>
        </w:rPr>
        <w:t xml:space="preserve"> several practical </w:t>
      </w:r>
      <w:r>
        <w:rPr>
          <w:rFonts w:ascii="Verdana" w:hAnsi="Verdana"/>
          <w:sz w:val="20"/>
          <w:szCs w:val="20"/>
        </w:rPr>
        <w:t>which</w:t>
      </w:r>
      <w:r w:rsidRPr="00BF042B">
        <w:rPr>
          <w:rFonts w:ascii="Verdana" w:hAnsi="Verdana"/>
          <w:sz w:val="20"/>
          <w:szCs w:val="20"/>
        </w:rPr>
        <w:t xml:space="preserve"> reference Funds who identify </w:t>
      </w:r>
      <w:r>
        <w:rPr>
          <w:rFonts w:ascii="Verdana" w:hAnsi="Verdana"/>
          <w:sz w:val="20"/>
          <w:szCs w:val="20"/>
        </w:rPr>
        <w:t xml:space="preserve">that </w:t>
      </w:r>
      <w:r w:rsidRPr="00BF042B">
        <w:rPr>
          <w:rFonts w:ascii="Verdana" w:hAnsi="Verdana"/>
          <w:sz w:val="20"/>
          <w:szCs w:val="20"/>
        </w:rPr>
        <w:t>climate risk has the potential to significantly affect the value of investments and wish to reflect this within their beliefs, strategies and approaches</w:t>
      </w:r>
      <w:r w:rsidRPr="00BF042B">
        <w:rPr>
          <w:rFonts w:ascii="Verdana" w:hAnsi="Verdana"/>
          <w:sz w:val="20"/>
          <w:szCs w:val="20"/>
        </w:rPr>
        <w:t>.  Whilst the examples are theoretical rather than real world</w:t>
      </w:r>
      <w:r>
        <w:rPr>
          <w:rFonts w:ascii="Verdana" w:hAnsi="Verdana"/>
          <w:sz w:val="20"/>
          <w:szCs w:val="20"/>
        </w:rPr>
        <w:t>,</w:t>
      </w:r>
      <w:r w:rsidRPr="00BF042B">
        <w:rPr>
          <w:rFonts w:ascii="Verdana" w:hAnsi="Verdana"/>
          <w:sz w:val="20"/>
          <w:szCs w:val="20"/>
        </w:rPr>
        <w:t xml:space="preserve"> the emphasis being given to climate change risk (through </w:t>
      </w:r>
      <w:r>
        <w:rPr>
          <w:rFonts w:ascii="Verdana" w:hAnsi="Verdana"/>
          <w:sz w:val="20"/>
          <w:szCs w:val="20"/>
        </w:rPr>
        <w:t xml:space="preserve">these </w:t>
      </w:r>
      <w:r w:rsidRPr="00BF042B">
        <w:rPr>
          <w:rFonts w:ascii="Verdana" w:hAnsi="Verdana"/>
          <w:sz w:val="20"/>
          <w:szCs w:val="20"/>
        </w:rPr>
        <w:t xml:space="preserve">reoccurring references) is interesting and new. </w:t>
      </w:r>
    </w:p>
    <w:p w:rsidR="00791E35" w:rsidRPr="00BF042B" w:rsidRDefault="00067BC0" w:rsidP="003B4083">
      <w:pPr>
        <w:autoSpaceDE w:val="0"/>
        <w:autoSpaceDN w:val="0"/>
        <w:adjustRightInd w:val="0"/>
        <w:spacing w:after="0" w:line="240" w:lineRule="auto"/>
        <w:rPr>
          <w:rFonts w:ascii="Verdana" w:hAnsi="Verdana"/>
          <w:sz w:val="20"/>
          <w:szCs w:val="20"/>
        </w:rPr>
      </w:pPr>
    </w:p>
    <w:p w:rsidR="00791E35" w:rsidRPr="00BF042B" w:rsidRDefault="00067BC0" w:rsidP="003B4083">
      <w:pPr>
        <w:autoSpaceDE w:val="0"/>
        <w:autoSpaceDN w:val="0"/>
        <w:adjustRightInd w:val="0"/>
        <w:spacing w:after="0" w:line="240" w:lineRule="auto"/>
        <w:rPr>
          <w:rFonts w:ascii="Verdana" w:hAnsi="Verdana"/>
          <w:sz w:val="20"/>
          <w:szCs w:val="20"/>
        </w:rPr>
      </w:pPr>
      <w:r>
        <w:rPr>
          <w:rFonts w:ascii="Verdana" w:hAnsi="Verdana"/>
          <w:sz w:val="20"/>
          <w:szCs w:val="20"/>
        </w:rPr>
        <w:t>M</w:t>
      </w:r>
      <w:r w:rsidRPr="00BF042B">
        <w:rPr>
          <w:rFonts w:ascii="Verdana" w:hAnsi="Verdana"/>
          <w:sz w:val="20"/>
          <w:szCs w:val="20"/>
        </w:rPr>
        <w:t xml:space="preserve">anager </w:t>
      </w:r>
      <w:r w:rsidRPr="00BF042B">
        <w:rPr>
          <w:rFonts w:ascii="Verdana" w:hAnsi="Verdana"/>
          <w:sz w:val="20"/>
          <w:szCs w:val="20"/>
        </w:rPr>
        <w:t xml:space="preserve">monitoring includes examples </w:t>
      </w:r>
      <w:r w:rsidRPr="00BF042B">
        <w:rPr>
          <w:rFonts w:ascii="Verdana" w:hAnsi="Verdana"/>
          <w:sz w:val="20"/>
          <w:szCs w:val="20"/>
        </w:rPr>
        <w:t xml:space="preserve">which reference the approach to </w:t>
      </w:r>
      <w:r>
        <w:rPr>
          <w:rFonts w:ascii="Verdana" w:hAnsi="Verdana"/>
          <w:sz w:val="20"/>
          <w:szCs w:val="20"/>
        </w:rPr>
        <w:t>Responsible</w:t>
      </w:r>
      <w:r>
        <w:rPr>
          <w:rFonts w:ascii="Verdana" w:hAnsi="Verdana"/>
          <w:sz w:val="20"/>
          <w:szCs w:val="20"/>
        </w:rPr>
        <w:t xml:space="preserve"> I</w:t>
      </w:r>
      <w:r w:rsidRPr="00BF042B">
        <w:rPr>
          <w:rFonts w:ascii="Verdana" w:hAnsi="Verdana"/>
          <w:sz w:val="20"/>
          <w:szCs w:val="20"/>
        </w:rPr>
        <w:t>nvestment</w:t>
      </w:r>
      <w:r w:rsidRPr="00BF042B">
        <w:rPr>
          <w:rFonts w:ascii="Verdana" w:hAnsi="Verdana"/>
          <w:sz w:val="20"/>
          <w:szCs w:val="20"/>
        </w:rPr>
        <w:t xml:space="preserve"> and the </w:t>
      </w:r>
      <w:r w:rsidRPr="00BF042B">
        <w:rPr>
          <w:rFonts w:ascii="Verdana" w:hAnsi="Verdana"/>
          <w:sz w:val="20"/>
          <w:szCs w:val="20"/>
        </w:rPr>
        <w:t>actions taken to incorporate environmental, social and governance (ESG) issues into investment analysis and decision-making</w:t>
      </w:r>
      <w:r w:rsidRPr="00BF042B">
        <w:rPr>
          <w:rFonts w:ascii="Verdana" w:hAnsi="Verdana"/>
          <w:sz w:val="20"/>
          <w:szCs w:val="20"/>
        </w:rPr>
        <w:t xml:space="preserve">. </w:t>
      </w:r>
      <w:r>
        <w:rPr>
          <w:rFonts w:ascii="Verdana" w:hAnsi="Verdana"/>
          <w:sz w:val="20"/>
          <w:szCs w:val="20"/>
        </w:rPr>
        <w:t xml:space="preserve"> </w:t>
      </w:r>
      <w:r>
        <w:rPr>
          <w:rFonts w:ascii="Verdana" w:hAnsi="Verdana"/>
          <w:sz w:val="20"/>
          <w:szCs w:val="20"/>
        </w:rPr>
        <w:t>The following s</w:t>
      </w:r>
      <w:r w:rsidRPr="00BF042B">
        <w:rPr>
          <w:rFonts w:ascii="Verdana" w:hAnsi="Verdana"/>
          <w:sz w:val="20"/>
          <w:szCs w:val="20"/>
        </w:rPr>
        <w:t>uggest</w:t>
      </w:r>
      <w:r>
        <w:rPr>
          <w:rFonts w:ascii="Verdana" w:hAnsi="Verdana"/>
          <w:sz w:val="20"/>
          <w:szCs w:val="20"/>
        </w:rPr>
        <w:t>ions are included for</w:t>
      </w:r>
      <w:r w:rsidRPr="00BF042B">
        <w:rPr>
          <w:rFonts w:ascii="Verdana" w:hAnsi="Verdana"/>
          <w:sz w:val="20"/>
          <w:szCs w:val="20"/>
        </w:rPr>
        <w:t xml:space="preserve"> reporting requirements </w:t>
      </w:r>
      <w:r>
        <w:rPr>
          <w:rFonts w:ascii="Verdana" w:hAnsi="Verdana"/>
          <w:sz w:val="20"/>
          <w:szCs w:val="20"/>
        </w:rPr>
        <w:t>relating to stewardship</w:t>
      </w:r>
      <w:r>
        <w:rPr>
          <w:rFonts w:ascii="Verdana" w:hAnsi="Verdana"/>
          <w:sz w:val="20"/>
          <w:szCs w:val="20"/>
        </w:rPr>
        <w:t>;</w:t>
      </w:r>
    </w:p>
    <w:p w:rsidR="00BF042B" w:rsidRPr="00BF042B" w:rsidRDefault="00067BC0" w:rsidP="009F2C10">
      <w:pPr>
        <w:numPr>
          <w:ilvl w:val="0"/>
          <w:numId w:val="19"/>
        </w:numPr>
        <w:spacing w:after="0" w:line="240" w:lineRule="auto"/>
        <w:ind w:left="709" w:hanging="709"/>
        <w:rPr>
          <w:rFonts w:ascii="Verdana" w:hAnsi="Verdana"/>
          <w:sz w:val="20"/>
          <w:szCs w:val="20"/>
        </w:rPr>
      </w:pPr>
      <w:r w:rsidRPr="00BF042B">
        <w:rPr>
          <w:rFonts w:ascii="Verdana" w:hAnsi="Verdana"/>
          <w:sz w:val="20"/>
          <w:szCs w:val="20"/>
        </w:rPr>
        <w:t>any ESG events / is</w:t>
      </w:r>
      <w:r w:rsidRPr="00BF042B">
        <w:rPr>
          <w:rFonts w:ascii="Verdana" w:hAnsi="Verdana"/>
          <w:sz w:val="20"/>
          <w:szCs w:val="20"/>
        </w:rPr>
        <w:t>sues and any material changes to the ESG risks and opportunities in the portfolio</w:t>
      </w:r>
      <w:r>
        <w:rPr>
          <w:rFonts w:ascii="Verdana" w:hAnsi="Verdana"/>
          <w:sz w:val="20"/>
          <w:szCs w:val="20"/>
        </w:rPr>
        <w:t>;</w:t>
      </w:r>
    </w:p>
    <w:p w:rsidR="00791E35" w:rsidRPr="00BF042B" w:rsidRDefault="00067BC0" w:rsidP="009F2C10">
      <w:pPr>
        <w:numPr>
          <w:ilvl w:val="0"/>
          <w:numId w:val="19"/>
        </w:numPr>
        <w:spacing w:after="0" w:line="240" w:lineRule="auto"/>
        <w:ind w:left="709" w:hanging="709"/>
        <w:rPr>
          <w:rFonts w:ascii="Verdana" w:hAnsi="Verdana"/>
          <w:sz w:val="20"/>
          <w:szCs w:val="20"/>
        </w:rPr>
      </w:pPr>
      <w:r w:rsidRPr="00BF042B">
        <w:rPr>
          <w:rFonts w:ascii="Verdana" w:hAnsi="Verdana"/>
          <w:sz w:val="20"/>
          <w:szCs w:val="20"/>
        </w:rPr>
        <w:t>voting activity summary</w:t>
      </w:r>
      <w:r>
        <w:rPr>
          <w:rFonts w:ascii="Verdana" w:hAnsi="Verdana"/>
          <w:sz w:val="20"/>
          <w:szCs w:val="20"/>
        </w:rPr>
        <w:t>;</w:t>
      </w:r>
    </w:p>
    <w:p w:rsidR="00791E35" w:rsidRPr="00BF042B" w:rsidRDefault="00067BC0" w:rsidP="009F2C10">
      <w:pPr>
        <w:numPr>
          <w:ilvl w:val="0"/>
          <w:numId w:val="20"/>
        </w:numPr>
        <w:spacing w:after="0" w:line="240" w:lineRule="auto"/>
        <w:ind w:left="709" w:hanging="709"/>
        <w:rPr>
          <w:rFonts w:ascii="Verdana" w:hAnsi="Verdana"/>
          <w:sz w:val="20"/>
          <w:szCs w:val="20"/>
        </w:rPr>
      </w:pPr>
      <w:r w:rsidRPr="00BF042B">
        <w:rPr>
          <w:rFonts w:ascii="Verdana" w:hAnsi="Verdana"/>
          <w:sz w:val="20"/>
          <w:szCs w:val="20"/>
        </w:rPr>
        <w:t>engagement summary</w:t>
      </w:r>
      <w:r>
        <w:rPr>
          <w:rFonts w:ascii="Verdana" w:hAnsi="Verdana"/>
          <w:sz w:val="20"/>
          <w:szCs w:val="20"/>
        </w:rPr>
        <w:t>.</w:t>
      </w:r>
    </w:p>
    <w:p w:rsidR="007960A9" w:rsidRPr="002F1F2D" w:rsidRDefault="00067BC0" w:rsidP="009F2C10">
      <w:pPr>
        <w:autoSpaceDE w:val="0"/>
        <w:autoSpaceDN w:val="0"/>
        <w:adjustRightInd w:val="0"/>
        <w:spacing w:after="0" w:line="240" w:lineRule="auto"/>
        <w:rPr>
          <w:rFonts w:ascii="Verdana" w:hAnsi="Verdana" w:cs="Verdana"/>
          <w:sz w:val="20"/>
          <w:szCs w:val="20"/>
        </w:rPr>
      </w:pPr>
    </w:p>
    <w:p w:rsidR="007960A9" w:rsidRPr="002F1F2D" w:rsidRDefault="00067BC0" w:rsidP="003B4083">
      <w:pPr>
        <w:spacing w:after="0"/>
        <w:rPr>
          <w:rFonts w:ascii="Verdana" w:hAnsi="Verdana"/>
          <w:b/>
          <w:sz w:val="20"/>
          <w:szCs w:val="20"/>
        </w:rPr>
      </w:pPr>
      <w:r w:rsidRPr="002F1F2D">
        <w:rPr>
          <w:rFonts w:ascii="Verdana" w:hAnsi="Verdana"/>
          <w:b/>
          <w:sz w:val="20"/>
          <w:szCs w:val="20"/>
        </w:rPr>
        <w:t>Principles of Responsible Investment</w:t>
      </w:r>
      <w:r>
        <w:rPr>
          <w:rFonts w:ascii="Verdana" w:hAnsi="Verdana"/>
          <w:b/>
          <w:sz w:val="20"/>
          <w:szCs w:val="20"/>
        </w:rPr>
        <w:t xml:space="preserve"> </w:t>
      </w:r>
      <w:r w:rsidRPr="002F1F2D">
        <w:rPr>
          <w:rFonts w:ascii="Verdana" w:hAnsi="Verdana"/>
          <w:b/>
          <w:sz w:val="20"/>
          <w:szCs w:val="20"/>
        </w:rPr>
        <w:t>– reflections on the 2017 reporting process</w:t>
      </w:r>
    </w:p>
    <w:p w:rsidR="003B4083" w:rsidRDefault="00067BC0" w:rsidP="003B4083">
      <w:pPr>
        <w:spacing w:after="0"/>
        <w:rPr>
          <w:rFonts w:ascii="Verdana" w:hAnsi="Verdana"/>
          <w:sz w:val="20"/>
          <w:szCs w:val="20"/>
        </w:rPr>
      </w:pPr>
    </w:p>
    <w:p w:rsidR="0061629F" w:rsidRPr="00EB0DDE" w:rsidRDefault="00067BC0" w:rsidP="003B4083">
      <w:pPr>
        <w:spacing w:after="0"/>
        <w:rPr>
          <w:rFonts w:ascii="Verdana" w:hAnsi="Verdana"/>
          <w:color w:val="183850"/>
          <w:sz w:val="20"/>
          <w:szCs w:val="20"/>
        </w:rPr>
      </w:pPr>
      <w:r w:rsidRPr="00B17B1F">
        <w:rPr>
          <w:rFonts w:ascii="Verdana" w:hAnsi="Verdana"/>
          <w:sz w:val="20"/>
          <w:szCs w:val="20"/>
        </w:rPr>
        <w:t xml:space="preserve">Since the Committee last met the Fund has </w:t>
      </w:r>
      <w:r w:rsidRPr="00B17B1F">
        <w:rPr>
          <w:rFonts w:ascii="Verdana" w:hAnsi="Verdana"/>
          <w:sz w:val="20"/>
          <w:szCs w:val="20"/>
        </w:rPr>
        <w:t xml:space="preserve">formally </w:t>
      </w:r>
      <w:r w:rsidRPr="00B17B1F">
        <w:rPr>
          <w:rFonts w:ascii="Verdana" w:hAnsi="Verdana"/>
          <w:sz w:val="20"/>
          <w:szCs w:val="20"/>
        </w:rPr>
        <w:t xml:space="preserve">reported </w:t>
      </w:r>
      <w:r w:rsidRPr="00B17B1F">
        <w:rPr>
          <w:rFonts w:ascii="Verdana" w:hAnsi="Verdana"/>
          <w:sz w:val="20"/>
          <w:szCs w:val="20"/>
        </w:rPr>
        <w:t>against the P</w:t>
      </w:r>
      <w:r w:rsidRPr="00B17B1F">
        <w:rPr>
          <w:rFonts w:ascii="Verdana" w:hAnsi="Verdana"/>
          <w:sz w:val="20"/>
          <w:szCs w:val="20"/>
        </w:rPr>
        <w:t>rinciples of Responsible Investment (PRI)</w:t>
      </w:r>
      <w:r w:rsidRPr="00B17B1F">
        <w:rPr>
          <w:rFonts w:ascii="Verdana" w:hAnsi="Verdana"/>
          <w:sz w:val="20"/>
          <w:szCs w:val="20"/>
        </w:rPr>
        <w:t xml:space="preserve"> for the first time</w:t>
      </w:r>
      <w:r w:rsidRPr="00B17B1F">
        <w:rPr>
          <w:rFonts w:ascii="Verdana" w:hAnsi="Verdana"/>
          <w:sz w:val="20"/>
          <w:szCs w:val="20"/>
        </w:rPr>
        <w:t xml:space="preserve">.  </w:t>
      </w:r>
      <w:r w:rsidRPr="00B17B1F">
        <w:rPr>
          <w:rFonts w:ascii="Verdana" w:hAnsi="Verdana" w:cs="Arial"/>
          <w:color w:val="000000"/>
          <w:sz w:val="20"/>
          <w:szCs w:val="20"/>
        </w:rPr>
        <w:t xml:space="preserve">LCPF </w:t>
      </w:r>
      <w:r>
        <w:rPr>
          <w:rFonts w:ascii="Verdana" w:hAnsi="Verdana" w:cs="Arial"/>
          <w:color w:val="000000"/>
          <w:sz w:val="20"/>
          <w:szCs w:val="20"/>
        </w:rPr>
        <w:t xml:space="preserve">became a </w:t>
      </w:r>
      <w:r>
        <w:rPr>
          <w:rFonts w:ascii="Verdana" w:hAnsi="Verdana" w:cs="Arial"/>
          <w:color w:val="000000"/>
          <w:sz w:val="20"/>
          <w:szCs w:val="20"/>
        </w:rPr>
        <w:t xml:space="preserve">PRI </w:t>
      </w:r>
      <w:r>
        <w:rPr>
          <w:rFonts w:ascii="Verdana" w:hAnsi="Verdana" w:cs="Arial"/>
          <w:color w:val="000000"/>
          <w:sz w:val="20"/>
          <w:szCs w:val="20"/>
        </w:rPr>
        <w:t>signatory in March 2015</w:t>
      </w:r>
      <w:r>
        <w:rPr>
          <w:rFonts w:ascii="Verdana" w:hAnsi="Verdana" w:cs="Arial"/>
          <w:color w:val="000000"/>
          <w:sz w:val="20"/>
          <w:szCs w:val="20"/>
        </w:rPr>
        <w:t xml:space="preserve"> but</w:t>
      </w:r>
      <w:r>
        <w:rPr>
          <w:rFonts w:ascii="Verdana" w:hAnsi="Verdana" w:cs="Arial"/>
          <w:color w:val="000000"/>
          <w:sz w:val="20"/>
          <w:szCs w:val="20"/>
        </w:rPr>
        <w:t xml:space="preserve"> </w:t>
      </w:r>
      <w:r w:rsidRPr="00B17B1F">
        <w:rPr>
          <w:rFonts w:ascii="Verdana" w:hAnsi="Verdana" w:cs="Arial"/>
          <w:color w:val="000000"/>
          <w:sz w:val="20"/>
          <w:szCs w:val="20"/>
        </w:rPr>
        <w:t>has not report</w:t>
      </w:r>
      <w:r>
        <w:rPr>
          <w:rFonts w:ascii="Verdana" w:hAnsi="Verdana" w:cs="Arial"/>
          <w:color w:val="000000"/>
          <w:sz w:val="20"/>
          <w:szCs w:val="20"/>
        </w:rPr>
        <w:t>ed</w:t>
      </w:r>
      <w:r w:rsidRPr="00B17B1F">
        <w:rPr>
          <w:rFonts w:ascii="Verdana" w:hAnsi="Verdana" w:cs="Arial"/>
          <w:color w:val="000000"/>
          <w:sz w:val="20"/>
          <w:szCs w:val="20"/>
        </w:rPr>
        <w:t xml:space="preserve"> against the framework </w:t>
      </w:r>
      <w:r>
        <w:rPr>
          <w:rFonts w:ascii="Verdana" w:hAnsi="Verdana" w:cs="Arial"/>
          <w:color w:val="000000"/>
          <w:sz w:val="20"/>
          <w:szCs w:val="20"/>
        </w:rPr>
        <w:t xml:space="preserve">previously </w:t>
      </w:r>
      <w:r w:rsidRPr="00B17B1F">
        <w:rPr>
          <w:rFonts w:ascii="Verdana" w:hAnsi="Verdana" w:cs="Arial"/>
          <w:color w:val="000000"/>
          <w:sz w:val="20"/>
          <w:szCs w:val="20"/>
        </w:rPr>
        <w:t xml:space="preserve">(there being a grace period for the first 12 months of being a </w:t>
      </w:r>
      <w:r w:rsidRPr="00B17B1F">
        <w:rPr>
          <w:rFonts w:ascii="Verdana" w:hAnsi="Verdana" w:cs="Arial"/>
          <w:color w:val="000000"/>
          <w:sz w:val="20"/>
          <w:szCs w:val="20"/>
        </w:rPr>
        <w:t>signatory).</w:t>
      </w:r>
      <w:r>
        <w:rPr>
          <w:rFonts w:ascii="Verdana" w:hAnsi="Verdana" w:cs="Arial"/>
          <w:color w:val="000000"/>
          <w:sz w:val="20"/>
          <w:szCs w:val="20"/>
        </w:rPr>
        <w:t xml:space="preserve"> T</w:t>
      </w:r>
      <w:r w:rsidRPr="00B17B1F">
        <w:rPr>
          <w:rFonts w:ascii="Verdana" w:hAnsi="Verdana" w:cs="Arial"/>
          <w:color w:val="000000"/>
          <w:sz w:val="20"/>
          <w:szCs w:val="20"/>
        </w:rPr>
        <w:t xml:space="preserve">he annual reporting </w:t>
      </w:r>
      <w:r w:rsidRPr="00EB0DDE">
        <w:rPr>
          <w:rFonts w:ascii="Verdana" w:hAnsi="Verdana" w:cs="Arial"/>
          <w:color w:val="000000"/>
          <w:sz w:val="20"/>
          <w:szCs w:val="20"/>
        </w:rPr>
        <w:t>deadline is 31 March.</w:t>
      </w:r>
    </w:p>
    <w:p w:rsidR="009F2C10" w:rsidRDefault="00067BC0" w:rsidP="003B4083">
      <w:pPr>
        <w:spacing w:after="0"/>
        <w:rPr>
          <w:rFonts w:ascii="Verdana" w:hAnsi="Verdana" w:cs="Arial"/>
          <w:color w:val="000000"/>
          <w:sz w:val="20"/>
          <w:szCs w:val="20"/>
        </w:rPr>
      </w:pPr>
    </w:p>
    <w:p w:rsidR="00B17B1F" w:rsidRPr="00EB0DDE" w:rsidRDefault="00067BC0" w:rsidP="003B4083">
      <w:pPr>
        <w:spacing w:after="0"/>
        <w:rPr>
          <w:rFonts w:ascii="Verdana" w:hAnsi="Verdana" w:cs="Arial"/>
          <w:color w:val="000000"/>
          <w:sz w:val="20"/>
          <w:szCs w:val="20"/>
        </w:rPr>
      </w:pPr>
      <w:r>
        <w:rPr>
          <w:rFonts w:ascii="Verdana" w:hAnsi="Verdana" w:cs="Arial"/>
          <w:color w:val="000000"/>
          <w:sz w:val="20"/>
          <w:szCs w:val="20"/>
        </w:rPr>
        <w:t>Annual r</w:t>
      </w:r>
      <w:r w:rsidRPr="00EB0DDE">
        <w:rPr>
          <w:rFonts w:ascii="Verdana" w:hAnsi="Verdana" w:cs="Arial"/>
          <w:color w:val="000000"/>
          <w:sz w:val="20"/>
          <w:szCs w:val="20"/>
        </w:rPr>
        <w:t xml:space="preserve">eporting is undertaken entirely online. Responses </w:t>
      </w:r>
      <w:r>
        <w:rPr>
          <w:rFonts w:ascii="Verdana" w:hAnsi="Verdana" w:cs="Arial"/>
          <w:color w:val="000000"/>
          <w:sz w:val="20"/>
          <w:szCs w:val="20"/>
        </w:rPr>
        <w:t>have to be given to</w:t>
      </w:r>
      <w:r w:rsidRPr="00EB0DDE">
        <w:rPr>
          <w:rFonts w:ascii="Verdana" w:hAnsi="Verdana" w:cs="Arial"/>
          <w:color w:val="000000"/>
          <w:sz w:val="20"/>
          <w:szCs w:val="20"/>
        </w:rPr>
        <w:t xml:space="preserve"> a detailed array of indicators designed to capture the Fund's overall approach and specific efforts and activities underta</w:t>
      </w:r>
      <w:r w:rsidRPr="00EB0DDE">
        <w:rPr>
          <w:rFonts w:ascii="Verdana" w:hAnsi="Verdana" w:cs="Arial"/>
          <w:color w:val="000000"/>
          <w:sz w:val="20"/>
          <w:szCs w:val="20"/>
        </w:rPr>
        <w:t xml:space="preserve">ken during the </w:t>
      </w:r>
      <w:r w:rsidRPr="00EB0DDE">
        <w:rPr>
          <w:rFonts w:ascii="Verdana" w:hAnsi="Verdana" w:cs="Arial"/>
          <w:color w:val="000000"/>
          <w:sz w:val="20"/>
          <w:szCs w:val="20"/>
        </w:rPr>
        <w:t xml:space="preserve">previous </w:t>
      </w:r>
      <w:r w:rsidRPr="00EB0DDE">
        <w:rPr>
          <w:rFonts w:ascii="Verdana" w:hAnsi="Verdana" w:cs="Arial"/>
          <w:color w:val="000000"/>
          <w:sz w:val="20"/>
          <w:szCs w:val="20"/>
        </w:rPr>
        <w:t>12 months</w:t>
      </w:r>
      <w:r w:rsidRPr="00EB0DDE">
        <w:rPr>
          <w:rFonts w:ascii="Verdana" w:hAnsi="Verdana" w:cs="Arial"/>
          <w:color w:val="000000"/>
          <w:sz w:val="20"/>
          <w:szCs w:val="20"/>
        </w:rPr>
        <w:t>.</w:t>
      </w:r>
      <w:r w:rsidRPr="00EB0DDE">
        <w:rPr>
          <w:rFonts w:ascii="Verdana" w:hAnsi="Verdana" w:cs="Arial"/>
          <w:color w:val="000000"/>
          <w:sz w:val="20"/>
          <w:szCs w:val="20"/>
        </w:rPr>
        <w:t xml:space="preserve"> </w:t>
      </w:r>
    </w:p>
    <w:p w:rsidR="009F2C10" w:rsidRDefault="00067BC0" w:rsidP="003B4083">
      <w:pPr>
        <w:spacing w:after="0"/>
        <w:rPr>
          <w:rFonts w:ascii="Verdana" w:hAnsi="Verdana" w:cs="Arial"/>
          <w:color w:val="000000"/>
          <w:sz w:val="20"/>
          <w:szCs w:val="20"/>
        </w:rPr>
      </w:pPr>
    </w:p>
    <w:p w:rsidR="009F2C10" w:rsidRDefault="00067BC0" w:rsidP="003B4083">
      <w:pPr>
        <w:spacing w:after="0"/>
        <w:rPr>
          <w:rFonts w:ascii="Verdana" w:hAnsi="Verdana" w:cs="Arial"/>
          <w:color w:val="000000"/>
          <w:sz w:val="20"/>
          <w:szCs w:val="20"/>
        </w:rPr>
      </w:pPr>
      <w:r w:rsidRPr="00EB0DDE">
        <w:rPr>
          <w:rFonts w:ascii="Verdana" w:hAnsi="Verdana" w:cs="Arial"/>
          <w:color w:val="000000"/>
          <w:sz w:val="20"/>
          <w:szCs w:val="20"/>
        </w:rPr>
        <w:t xml:space="preserve">The document at </w:t>
      </w:r>
      <w:r w:rsidRPr="0044001A">
        <w:rPr>
          <w:rFonts w:ascii="Verdana" w:hAnsi="Verdana" w:cs="Arial"/>
          <w:b/>
          <w:color w:val="000000"/>
          <w:sz w:val="20"/>
          <w:szCs w:val="20"/>
        </w:rPr>
        <w:t xml:space="preserve">Appendix </w:t>
      </w:r>
      <w:r w:rsidR="00A21E82">
        <w:rPr>
          <w:rFonts w:ascii="Verdana" w:hAnsi="Verdana" w:cs="Arial"/>
          <w:b/>
          <w:color w:val="000000"/>
          <w:sz w:val="20"/>
          <w:szCs w:val="20"/>
        </w:rPr>
        <w:t>1</w:t>
      </w:r>
      <w:r w:rsidRPr="00EB0DDE">
        <w:rPr>
          <w:rFonts w:ascii="Verdana" w:hAnsi="Verdana" w:cs="Arial"/>
          <w:color w:val="000000"/>
          <w:sz w:val="20"/>
          <w:szCs w:val="20"/>
        </w:rPr>
        <w:t xml:space="preserve"> is the Fund's full </w:t>
      </w:r>
      <w:r>
        <w:rPr>
          <w:rFonts w:ascii="Verdana" w:hAnsi="Verdana" w:cs="Arial"/>
          <w:color w:val="000000"/>
          <w:sz w:val="20"/>
          <w:szCs w:val="20"/>
        </w:rPr>
        <w:t xml:space="preserve">Transparency </w:t>
      </w:r>
      <w:r w:rsidRPr="00EB0DDE">
        <w:rPr>
          <w:rFonts w:ascii="Verdana" w:hAnsi="Verdana" w:cs="Arial"/>
          <w:color w:val="000000"/>
          <w:sz w:val="20"/>
          <w:szCs w:val="20"/>
        </w:rPr>
        <w:t>Report for 2017</w:t>
      </w:r>
      <w:r>
        <w:rPr>
          <w:rFonts w:ascii="Verdana" w:hAnsi="Verdana" w:cs="Arial"/>
          <w:color w:val="000000"/>
          <w:sz w:val="20"/>
          <w:szCs w:val="20"/>
        </w:rPr>
        <w:t xml:space="preserve"> which is the ultimate output of the </w:t>
      </w:r>
      <w:r>
        <w:rPr>
          <w:rFonts w:ascii="Verdana" w:hAnsi="Verdana" w:cs="Arial"/>
          <w:color w:val="000000"/>
          <w:sz w:val="20"/>
          <w:szCs w:val="20"/>
        </w:rPr>
        <w:t xml:space="preserve">reporting </w:t>
      </w:r>
      <w:r>
        <w:rPr>
          <w:rFonts w:ascii="Verdana" w:hAnsi="Verdana" w:cs="Arial"/>
          <w:color w:val="000000"/>
          <w:sz w:val="20"/>
          <w:szCs w:val="20"/>
        </w:rPr>
        <w:t>process</w:t>
      </w:r>
      <w:r w:rsidRPr="00EB0DDE">
        <w:rPr>
          <w:rFonts w:ascii="Verdana" w:hAnsi="Verdana" w:cs="Arial"/>
          <w:color w:val="000000"/>
          <w:sz w:val="20"/>
          <w:szCs w:val="20"/>
        </w:rPr>
        <w:t>.</w:t>
      </w:r>
    </w:p>
    <w:p w:rsidR="005D3D44" w:rsidRPr="00EB0DDE" w:rsidRDefault="00067BC0" w:rsidP="003B4083">
      <w:pPr>
        <w:spacing w:after="0"/>
        <w:rPr>
          <w:rFonts w:ascii="Verdana" w:hAnsi="Verdana" w:cs="Arial"/>
          <w:color w:val="000000"/>
          <w:sz w:val="20"/>
          <w:szCs w:val="20"/>
        </w:rPr>
      </w:pPr>
      <w:r w:rsidRPr="00EB0DDE">
        <w:rPr>
          <w:rFonts w:ascii="Verdana" w:hAnsi="Verdana" w:cs="Arial"/>
          <w:color w:val="000000"/>
          <w:sz w:val="20"/>
          <w:szCs w:val="20"/>
        </w:rPr>
        <w:t xml:space="preserve"> </w:t>
      </w:r>
    </w:p>
    <w:p w:rsidR="0061629F" w:rsidRPr="00946C4F" w:rsidRDefault="00067BC0" w:rsidP="003B4083">
      <w:pPr>
        <w:spacing w:after="0"/>
        <w:rPr>
          <w:rFonts w:ascii="Verdana" w:hAnsi="Verdana" w:cs="Arial"/>
          <w:color w:val="000000"/>
          <w:sz w:val="20"/>
          <w:szCs w:val="20"/>
        </w:rPr>
      </w:pPr>
      <w:r w:rsidRPr="00EB0DDE">
        <w:rPr>
          <w:rFonts w:ascii="Verdana" w:hAnsi="Verdana" w:cs="Arial"/>
          <w:color w:val="000000"/>
          <w:sz w:val="20"/>
          <w:szCs w:val="20"/>
        </w:rPr>
        <w:t>Transparency Report</w:t>
      </w:r>
      <w:r>
        <w:rPr>
          <w:rFonts w:ascii="Verdana" w:hAnsi="Verdana" w:cs="Arial"/>
          <w:color w:val="000000"/>
          <w:sz w:val="20"/>
          <w:szCs w:val="20"/>
        </w:rPr>
        <w:t>s</w:t>
      </w:r>
      <w:r w:rsidRPr="00EB0DDE">
        <w:rPr>
          <w:rFonts w:ascii="Verdana" w:hAnsi="Verdana" w:cs="Arial"/>
          <w:color w:val="000000"/>
          <w:sz w:val="20"/>
          <w:szCs w:val="20"/>
        </w:rPr>
        <w:t xml:space="preserve"> </w:t>
      </w:r>
      <w:r>
        <w:rPr>
          <w:rFonts w:ascii="Verdana" w:hAnsi="Verdana" w:cs="Arial"/>
          <w:color w:val="000000"/>
          <w:sz w:val="20"/>
          <w:szCs w:val="20"/>
        </w:rPr>
        <w:t>for</w:t>
      </w:r>
      <w:r w:rsidRPr="00EB0DDE">
        <w:rPr>
          <w:rFonts w:ascii="Verdana" w:hAnsi="Verdana" w:cs="Arial"/>
          <w:color w:val="000000"/>
          <w:sz w:val="20"/>
          <w:szCs w:val="20"/>
        </w:rPr>
        <w:t xml:space="preserve"> each signatory </w:t>
      </w:r>
      <w:r>
        <w:rPr>
          <w:rFonts w:ascii="Verdana" w:hAnsi="Verdana" w:cs="Arial"/>
          <w:color w:val="000000"/>
          <w:sz w:val="20"/>
          <w:szCs w:val="20"/>
        </w:rPr>
        <w:t>are</w:t>
      </w:r>
      <w:r w:rsidRPr="00EB0DDE">
        <w:rPr>
          <w:rFonts w:ascii="Verdana" w:hAnsi="Verdana" w:cs="Arial"/>
          <w:color w:val="000000"/>
          <w:sz w:val="20"/>
          <w:szCs w:val="20"/>
        </w:rPr>
        <w:t xml:space="preserve"> made publicly available from the PRI website</w:t>
      </w:r>
      <w:r w:rsidRPr="00EB0DDE">
        <w:rPr>
          <w:rFonts w:ascii="Verdana" w:hAnsi="Verdana" w:cs="Arial"/>
          <w:color w:val="000000"/>
          <w:sz w:val="20"/>
          <w:szCs w:val="20"/>
        </w:rPr>
        <w:t xml:space="preserve"> following </w:t>
      </w:r>
      <w:r>
        <w:rPr>
          <w:rFonts w:ascii="Verdana" w:hAnsi="Verdana" w:cs="Arial"/>
          <w:color w:val="000000"/>
          <w:sz w:val="20"/>
          <w:szCs w:val="20"/>
        </w:rPr>
        <w:t xml:space="preserve">the </w:t>
      </w:r>
      <w:r w:rsidRPr="00EB0DDE">
        <w:rPr>
          <w:rFonts w:ascii="Verdana" w:hAnsi="Verdana" w:cs="Arial"/>
          <w:color w:val="000000"/>
          <w:sz w:val="20"/>
          <w:szCs w:val="20"/>
        </w:rPr>
        <w:t>assessment</w:t>
      </w:r>
      <w:r>
        <w:rPr>
          <w:rFonts w:ascii="Verdana" w:hAnsi="Verdana" w:cs="Arial"/>
          <w:color w:val="000000"/>
          <w:sz w:val="20"/>
          <w:szCs w:val="20"/>
        </w:rPr>
        <w:t xml:space="preserve"> of annual reporting submissions</w:t>
      </w:r>
      <w:r w:rsidRPr="00EB0DDE">
        <w:rPr>
          <w:rFonts w:ascii="Verdana" w:hAnsi="Verdana" w:cs="Arial"/>
          <w:color w:val="000000"/>
          <w:sz w:val="20"/>
          <w:szCs w:val="20"/>
        </w:rPr>
        <w:t xml:space="preserve">.  Each </w:t>
      </w:r>
      <w:r>
        <w:rPr>
          <w:rFonts w:ascii="Verdana" w:hAnsi="Verdana" w:cs="Arial"/>
          <w:color w:val="000000"/>
          <w:sz w:val="20"/>
          <w:szCs w:val="20"/>
        </w:rPr>
        <w:t xml:space="preserve">signatory </w:t>
      </w:r>
      <w:r>
        <w:rPr>
          <w:rFonts w:ascii="Verdana" w:hAnsi="Verdana" w:cs="Arial"/>
          <w:color w:val="000000"/>
          <w:sz w:val="20"/>
          <w:szCs w:val="20"/>
        </w:rPr>
        <w:t>will receive</w:t>
      </w:r>
      <w:r>
        <w:rPr>
          <w:rFonts w:ascii="Verdana" w:hAnsi="Verdana" w:cs="Arial"/>
          <w:color w:val="000000"/>
          <w:sz w:val="20"/>
          <w:szCs w:val="20"/>
        </w:rPr>
        <w:t xml:space="preserve"> </w:t>
      </w:r>
      <w:r w:rsidRPr="00EB0DDE">
        <w:rPr>
          <w:rFonts w:ascii="Verdana" w:hAnsi="Verdana" w:cs="Arial"/>
          <w:color w:val="000000"/>
          <w:sz w:val="20"/>
          <w:szCs w:val="20"/>
        </w:rPr>
        <w:t xml:space="preserve">a confidential Assessment Report which confirms the PRI's scoring of their efforts against an underlying assessment </w:t>
      </w:r>
      <w:r w:rsidRPr="00EB0DDE">
        <w:rPr>
          <w:rFonts w:ascii="Verdana" w:hAnsi="Verdana" w:cs="Arial"/>
          <w:color w:val="000000"/>
          <w:sz w:val="20"/>
          <w:szCs w:val="20"/>
        </w:rPr>
        <w:t>methodology and their positio</w:t>
      </w:r>
      <w:r>
        <w:rPr>
          <w:rFonts w:ascii="Verdana" w:hAnsi="Verdana" w:cs="Arial"/>
          <w:color w:val="000000"/>
          <w:sz w:val="20"/>
          <w:szCs w:val="20"/>
        </w:rPr>
        <w:t xml:space="preserve">n relative to their peer group. </w:t>
      </w:r>
      <w:r w:rsidRPr="00946C4F">
        <w:rPr>
          <w:rFonts w:ascii="Verdana" w:hAnsi="Verdana" w:cs="Arial"/>
          <w:color w:val="000000"/>
          <w:sz w:val="20"/>
          <w:szCs w:val="20"/>
        </w:rPr>
        <w:t xml:space="preserve">We are advised by the PRI that </w:t>
      </w:r>
      <w:r>
        <w:rPr>
          <w:rFonts w:ascii="Verdana" w:hAnsi="Verdana" w:cs="Arial"/>
          <w:color w:val="000000"/>
          <w:sz w:val="20"/>
          <w:szCs w:val="20"/>
        </w:rPr>
        <w:t xml:space="preserve">this is </w:t>
      </w:r>
      <w:r w:rsidRPr="00946C4F">
        <w:rPr>
          <w:rFonts w:ascii="Verdana" w:hAnsi="Verdana" w:cs="Arial"/>
          <w:color w:val="000000"/>
          <w:sz w:val="20"/>
          <w:szCs w:val="20"/>
        </w:rPr>
        <w:t xml:space="preserve">likely to happen during June 2017. </w:t>
      </w:r>
      <w:r w:rsidRPr="00946C4F">
        <w:rPr>
          <w:rFonts w:ascii="Verdana" w:hAnsi="Verdana" w:cs="Arial"/>
          <w:color w:val="000000"/>
          <w:sz w:val="20"/>
          <w:szCs w:val="20"/>
        </w:rPr>
        <w:t xml:space="preserve"> </w:t>
      </w:r>
    </w:p>
    <w:p w:rsidR="008E62D7" w:rsidRDefault="00067BC0" w:rsidP="003B4083">
      <w:pPr>
        <w:spacing w:after="0"/>
        <w:rPr>
          <w:rFonts w:ascii="Verdana" w:hAnsi="Verdana" w:cs="Arial"/>
          <w:color w:val="000000"/>
          <w:sz w:val="20"/>
          <w:szCs w:val="20"/>
        </w:rPr>
      </w:pPr>
    </w:p>
    <w:p w:rsidR="0061629F" w:rsidRDefault="00067BC0" w:rsidP="003B4083">
      <w:pPr>
        <w:spacing w:after="0"/>
        <w:rPr>
          <w:rFonts w:ascii="Verdana" w:hAnsi="Verdana" w:cs="Arial"/>
          <w:sz w:val="20"/>
          <w:szCs w:val="20"/>
        </w:rPr>
      </w:pPr>
      <w:r w:rsidRPr="00946C4F">
        <w:rPr>
          <w:rFonts w:ascii="Verdana" w:hAnsi="Verdana" w:cs="Arial"/>
          <w:color w:val="000000"/>
          <w:sz w:val="20"/>
          <w:szCs w:val="20"/>
        </w:rPr>
        <w:t>T</w:t>
      </w:r>
      <w:r w:rsidRPr="00946C4F">
        <w:rPr>
          <w:rFonts w:ascii="Verdana" w:hAnsi="Verdana" w:cs="Arial"/>
          <w:sz w:val="20"/>
          <w:szCs w:val="20"/>
        </w:rPr>
        <w:t xml:space="preserve">his first experience of reporting has shown the process to be very detailed and </w:t>
      </w:r>
      <w:r>
        <w:rPr>
          <w:rFonts w:ascii="Verdana" w:hAnsi="Verdana" w:cs="Arial"/>
          <w:sz w:val="20"/>
          <w:szCs w:val="20"/>
        </w:rPr>
        <w:t xml:space="preserve">to consume </w:t>
      </w:r>
      <w:r w:rsidRPr="00946C4F">
        <w:rPr>
          <w:rFonts w:ascii="Verdana" w:hAnsi="Verdana" w:cs="Arial"/>
          <w:sz w:val="20"/>
          <w:szCs w:val="20"/>
        </w:rPr>
        <w:t>consider</w:t>
      </w:r>
      <w:r>
        <w:rPr>
          <w:rFonts w:ascii="Verdana" w:hAnsi="Verdana" w:cs="Arial"/>
          <w:sz w:val="20"/>
          <w:szCs w:val="20"/>
        </w:rPr>
        <w:t>able time and effo</w:t>
      </w:r>
      <w:r>
        <w:rPr>
          <w:rFonts w:ascii="Verdana" w:hAnsi="Verdana" w:cs="Arial"/>
          <w:sz w:val="20"/>
          <w:szCs w:val="20"/>
        </w:rPr>
        <w:t>rt</w:t>
      </w:r>
      <w:r w:rsidRPr="00946C4F">
        <w:rPr>
          <w:rFonts w:ascii="Verdana" w:hAnsi="Verdana" w:cs="Arial"/>
          <w:sz w:val="20"/>
          <w:szCs w:val="20"/>
        </w:rPr>
        <w:t xml:space="preserve">.  </w:t>
      </w:r>
      <w:r w:rsidRPr="00946C4F">
        <w:rPr>
          <w:rFonts w:ascii="Verdana" w:hAnsi="Verdana" w:cs="Arial"/>
          <w:sz w:val="20"/>
          <w:szCs w:val="20"/>
        </w:rPr>
        <w:t>E</w:t>
      </w:r>
      <w:r w:rsidRPr="00946C4F">
        <w:rPr>
          <w:rFonts w:ascii="Verdana" w:hAnsi="Verdana" w:cs="Arial"/>
          <w:sz w:val="20"/>
          <w:szCs w:val="20"/>
        </w:rPr>
        <w:t>xplain</w:t>
      </w:r>
      <w:r w:rsidRPr="00946C4F">
        <w:rPr>
          <w:rFonts w:ascii="Verdana" w:hAnsi="Verdana" w:cs="Arial"/>
          <w:sz w:val="20"/>
          <w:szCs w:val="20"/>
        </w:rPr>
        <w:t>ing</w:t>
      </w:r>
      <w:r w:rsidRPr="00946C4F">
        <w:rPr>
          <w:rFonts w:ascii="Verdana" w:hAnsi="Verdana" w:cs="Arial"/>
          <w:sz w:val="20"/>
          <w:szCs w:val="20"/>
        </w:rPr>
        <w:t xml:space="preserve"> underlying </w:t>
      </w:r>
      <w:r>
        <w:rPr>
          <w:rFonts w:ascii="Verdana" w:hAnsi="Verdana" w:cs="Arial"/>
          <w:sz w:val="20"/>
          <w:szCs w:val="20"/>
        </w:rPr>
        <w:t xml:space="preserve">contractual and procedural </w:t>
      </w:r>
      <w:r w:rsidRPr="00946C4F">
        <w:rPr>
          <w:rFonts w:ascii="Verdana" w:hAnsi="Verdana" w:cs="Arial"/>
          <w:sz w:val="20"/>
          <w:szCs w:val="20"/>
        </w:rPr>
        <w:t>arrangeme</w:t>
      </w:r>
      <w:r w:rsidRPr="00946C4F">
        <w:rPr>
          <w:rFonts w:ascii="Verdana" w:hAnsi="Verdana" w:cs="Arial"/>
          <w:sz w:val="20"/>
          <w:szCs w:val="20"/>
        </w:rPr>
        <w:t>nts and providing</w:t>
      </w:r>
      <w:r w:rsidRPr="00946C4F">
        <w:rPr>
          <w:rFonts w:ascii="Verdana" w:hAnsi="Verdana" w:cs="Arial"/>
          <w:sz w:val="20"/>
          <w:szCs w:val="20"/>
        </w:rPr>
        <w:t xml:space="preserve"> detail on specific examples of activity is </w:t>
      </w:r>
      <w:r>
        <w:rPr>
          <w:rFonts w:ascii="Verdana" w:hAnsi="Verdana" w:cs="Arial"/>
          <w:sz w:val="20"/>
          <w:szCs w:val="20"/>
        </w:rPr>
        <w:t>especially</w:t>
      </w:r>
      <w:r w:rsidRPr="00946C4F">
        <w:rPr>
          <w:rFonts w:ascii="Verdana" w:hAnsi="Verdana" w:cs="Arial"/>
          <w:sz w:val="20"/>
          <w:szCs w:val="20"/>
        </w:rPr>
        <w:t xml:space="preserve"> onerous </w:t>
      </w:r>
      <w:r w:rsidRPr="00946C4F">
        <w:rPr>
          <w:rFonts w:ascii="Verdana" w:hAnsi="Verdana" w:cs="Arial"/>
          <w:sz w:val="20"/>
          <w:szCs w:val="20"/>
        </w:rPr>
        <w:lastRenderedPageBreak/>
        <w:t xml:space="preserve">first time around but dedicating adequate time </w:t>
      </w:r>
      <w:r>
        <w:rPr>
          <w:rFonts w:ascii="Verdana" w:hAnsi="Verdana" w:cs="Arial"/>
          <w:sz w:val="20"/>
          <w:szCs w:val="20"/>
        </w:rPr>
        <w:t>i</w:t>
      </w:r>
      <w:r w:rsidRPr="00946C4F">
        <w:rPr>
          <w:rFonts w:ascii="Verdana" w:hAnsi="Verdana" w:cs="Arial"/>
          <w:sz w:val="20"/>
          <w:szCs w:val="20"/>
        </w:rPr>
        <w:t xml:space="preserve">s essential </w:t>
      </w:r>
      <w:r>
        <w:rPr>
          <w:rFonts w:ascii="Verdana" w:hAnsi="Verdana" w:cs="Arial"/>
          <w:sz w:val="20"/>
          <w:szCs w:val="20"/>
        </w:rPr>
        <w:t>as</w:t>
      </w:r>
      <w:r w:rsidRPr="00946C4F">
        <w:rPr>
          <w:rFonts w:ascii="Verdana" w:hAnsi="Verdana" w:cs="Arial"/>
          <w:sz w:val="20"/>
          <w:szCs w:val="20"/>
        </w:rPr>
        <w:t xml:space="preserve"> the </w:t>
      </w:r>
      <w:r>
        <w:rPr>
          <w:rFonts w:ascii="Verdana" w:hAnsi="Verdana" w:cs="Arial"/>
          <w:sz w:val="20"/>
          <w:szCs w:val="20"/>
        </w:rPr>
        <w:t xml:space="preserve">Transparency Report which is made </w:t>
      </w:r>
      <w:r w:rsidRPr="00946C4F">
        <w:rPr>
          <w:rFonts w:ascii="Verdana" w:hAnsi="Verdana" w:cs="Arial"/>
          <w:sz w:val="20"/>
          <w:szCs w:val="20"/>
        </w:rPr>
        <w:t xml:space="preserve">public </w:t>
      </w:r>
      <w:r>
        <w:rPr>
          <w:rFonts w:ascii="Verdana" w:hAnsi="Verdana" w:cs="Arial"/>
          <w:sz w:val="20"/>
          <w:szCs w:val="20"/>
        </w:rPr>
        <w:t>is</w:t>
      </w:r>
      <w:r w:rsidRPr="00946C4F">
        <w:rPr>
          <w:rFonts w:ascii="Verdana" w:hAnsi="Verdana" w:cs="Arial"/>
          <w:sz w:val="20"/>
          <w:szCs w:val="20"/>
        </w:rPr>
        <w:t xml:space="preserve"> a composite of responses to more than 60 individual indicators.</w:t>
      </w:r>
    </w:p>
    <w:p w:rsidR="009F2C10" w:rsidRPr="00946C4F" w:rsidRDefault="00067BC0" w:rsidP="003B4083">
      <w:pPr>
        <w:spacing w:after="0"/>
        <w:rPr>
          <w:rFonts w:ascii="Verdana" w:hAnsi="Verdana" w:cs="Arial"/>
          <w:sz w:val="20"/>
          <w:szCs w:val="20"/>
        </w:rPr>
      </w:pPr>
    </w:p>
    <w:p w:rsidR="00CF6CF4" w:rsidRPr="00946C4F" w:rsidRDefault="00067BC0" w:rsidP="003B4083">
      <w:pPr>
        <w:spacing w:after="0"/>
        <w:rPr>
          <w:rFonts w:ascii="Verdana" w:hAnsi="Verdana" w:cs="Arial"/>
          <w:sz w:val="20"/>
          <w:szCs w:val="20"/>
        </w:rPr>
      </w:pPr>
      <w:r w:rsidRPr="00946C4F">
        <w:rPr>
          <w:rFonts w:ascii="Verdana" w:hAnsi="Verdana" w:cs="Arial"/>
          <w:sz w:val="20"/>
          <w:szCs w:val="20"/>
        </w:rPr>
        <w:t>S</w:t>
      </w:r>
      <w:r w:rsidRPr="00946C4F">
        <w:rPr>
          <w:rFonts w:ascii="Verdana" w:hAnsi="Verdana" w:cs="Arial"/>
          <w:sz w:val="20"/>
          <w:szCs w:val="20"/>
        </w:rPr>
        <w:t xml:space="preserve">ome specific learning points </w:t>
      </w:r>
      <w:r>
        <w:rPr>
          <w:rFonts w:ascii="Verdana" w:hAnsi="Verdana" w:cs="Arial"/>
          <w:sz w:val="20"/>
          <w:szCs w:val="20"/>
        </w:rPr>
        <w:t>have arisen</w:t>
      </w:r>
      <w:r w:rsidRPr="00946C4F">
        <w:rPr>
          <w:rFonts w:ascii="Verdana" w:hAnsi="Verdana" w:cs="Arial"/>
          <w:sz w:val="20"/>
          <w:szCs w:val="20"/>
        </w:rPr>
        <w:t xml:space="preserve"> </w:t>
      </w:r>
      <w:r w:rsidRPr="00946C4F">
        <w:rPr>
          <w:rFonts w:ascii="Verdana" w:hAnsi="Verdana" w:cs="Arial"/>
          <w:sz w:val="20"/>
          <w:szCs w:val="20"/>
        </w:rPr>
        <w:t xml:space="preserve">from the experience of working through the detailed reporting framework. </w:t>
      </w:r>
      <w:r>
        <w:rPr>
          <w:rFonts w:ascii="Verdana" w:hAnsi="Verdana" w:cs="Arial"/>
          <w:sz w:val="20"/>
          <w:szCs w:val="20"/>
        </w:rPr>
        <w:t>One of the greatest difficulties</w:t>
      </w:r>
      <w:r w:rsidRPr="00946C4F">
        <w:rPr>
          <w:rFonts w:ascii="Verdana" w:hAnsi="Verdana" w:cs="Arial"/>
          <w:sz w:val="20"/>
          <w:szCs w:val="20"/>
        </w:rPr>
        <w:t xml:space="preserve"> was in clearly defining </w:t>
      </w:r>
      <w:r>
        <w:rPr>
          <w:rFonts w:ascii="Verdana" w:hAnsi="Verdana" w:cs="Arial"/>
          <w:sz w:val="20"/>
          <w:szCs w:val="20"/>
        </w:rPr>
        <w:t xml:space="preserve">a </w:t>
      </w:r>
      <w:r w:rsidRPr="00946C4F">
        <w:rPr>
          <w:rFonts w:ascii="Verdana" w:hAnsi="Verdana" w:cs="Arial"/>
          <w:sz w:val="20"/>
          <w:szCs w:val="20"/>
        </w:rPr>
        <w:t>demarcation betw</w:t>
      </w:r>
      <w:r w:rsidRPr="00946C4F">
        <w:rPr>
          <w:rFonts w:ascii="Verdana" w:hAnsi="Verdana" w:cs="Arial"/>
          <w:sz w:val="20"/>
          <w:szCs w:val="20"/>
        </w:rPr>
        <w:t xml:space="preserve">een LCPF as an asset owner </w:t>
      </w:r>
      <w:r>
        <w:rPr>
          <w:rFonts w:ascii="Verdana" w:hAnsi="Verdana" w:cs="Arial"/>
          <w:sz w:val="20"/>
          <w:szCs w:val="20"/>
        </w:rPr>
        <w:t xml:space="preserve">signatory </w:t>
      </w:r>
      <w:r w:rsidRPr="00946C4F">
        <w:rPr>
          <w:rFonts w:ascii="Verdana" w:hAnsi="Verdana" w:cs="Arial"/>
          <w:sz w:val="20"/>
          <w:szCs w:val="20"/>
        </w:rPr>
        <w:t xml:space="preserve">and LPP as a provider who fits the PRI's definition of a fiduciary manager. </w:t>
      </w:r>
      <w:r w:rsidRPr="00946C4F">
        <w:rPr>
          <w:rFonts w:ascii="Verdana" w:hAnsi="Verdana" w:cs="Arial"/>
          <w:sz w:val="20"/>
          <w:szCs w:val="20"/>
        </w:rPr>
        <w:t xml:space="preserve">It is </w:t>
      </w:r>
      <w:r w:rsidRPr="00946C4F">
        <w:rPr>
          <w:rFonts w:ascii="Verdana" w:hAnsi="Verdana" w:cs="Arial"/>
          <w:sz w:val="20"/>
          <w:szCs w:val="20"/>
        </w:rPr>
        <w:t xml:space="preserve">LCPF </w:t>
      </w:r>
      <w:r w:rsidRPr="00946C4F">
        <w:rPr>
          <w:rFonts w:ascii="Verdana" w:hAnsi="Verdana" w:cs="Arial"/>
          <w:sz w:val="20"/>
          <w:szCs w:val="20"/>
        </w:rPr>
        <w:t xml:space="preserve">rather than LPP </w:t>
      </w:r>
      <w:r>
        <w:rPr>
          <w:rFonts w:ascii="Verdana" w:hAnsi="Verdana" w:cs="Arial"/>
          <w:sz w:val="20"/>
          <w:szCs w:val="20"/>
        </w:rPr>
        <w:t xml:space="preserve">which </w:t>
      </w:r>
      <w:r w:rsidRPr="00946C4F">
        <w:rPr>
          <w:rFonts w:ascii="Verdana" w:hAnsi="Verdana" w:cs="Arial"/>
          <w:sz w:val="20"/>
          <w:szCs w:val="20"/>
        </w:rPr>
        <w:t>is the</w:t>
      </w:r>
      <w:r w:rsidRPr="00946C4F">
        <w:rPr>
          <w:rFonts w:ascii="Verdana" w:hAnsi="Verdana" w:cs="Arial"/>
          <w:sz w:val="20"/>
          <w:szCs w:val="20"/>
        </w:rPr>
        <w:t xml:space="preserve"> PRI signatory, but there are </w:t>
      </w:r>
      <w:r>
        <w:rPr>
          <w:rFonts w:ascii="Verdana" w:hAnsi="Verdana" w:cs="Arial"/>
          <w:sz w:val="20"/>
          <w:szCs w:val="20"/>
        </w:rPr>
        <w:t xml:space="preserve">currently </w:t>
      </w:r>
      <w:r w:rsidRPr="00946C4F">
        <w:rPr>
          <w:rFonts w:ascii="Verdana" w:hAnsi="Verdana" w:cs="Arial"/>
          <w:sz w:val="20"/>
          <w:szCs w:val="20"/>
        </w:rPr>
        <w:t xml:space="preserve">limited </w:t>
      </w:r>
      <w:r>
        <w:rPr>
          <w:rFonts w:ascii="Verdana" w:hAnsi="Verdana" w:cs="Arial"/>
          <w:sz w:val="20"/>
          <w:szCs w:val="20"/>
        </w:rPr>
        <w:t>places</w:t>
      </w:r>
      <w:r w:rsidRPr="00946C4F">
        <w:rPr>
          <w:rFonts w:ascii="Verdana" w:hAnsi="Verdana" w:cs="Arial"/>
          <w:sz w:val="20"/>
          <w:szCs w:val="20"/>
        </w:rPr>
        <w:t xml:space="preserve"> in which the Fund</w:t>
      </w:r>
      <w:r w:rsidRPr="00946C4F">
        <w:rPr>
          <w:rFonts w:ascii="Verdana" w:hAnsi="Verdana" w:cs="Arial"/>
          <w:sz w:val="20"/>
          <w:szCs w:val="20"/>
        </w:rPr>
        <w:t xml:space="preserve"> </w:t>
      </w:r>
      <w:r>
        <w:rPr>
          <w:rFonts w:ascii="Verdana" w:hAnsi="Verdana" w:cs="Arial"/>
          <w:sz w:val="20"/>
          <w:szCs w:val="20"/>
        </w:rPr>
        <w:t xml:space="preserve">formally </w:t>
      </w:r>
      <w:r w:rsidRPr="00946C4F">
        <w:rPr>
          <w:rFonts w:ascii="Verdana" w:hAnsi="Verdana" w:cs="Arial"/>
          <w:sz w:val="20"/>
          <w:szCs w:val="20"/>
        </w:rPr>
        <w:t>set</w:t>
      </w:r>
      <w:r>
        <w:rPr>
          <w:rFonts w:ascii="Verdana" w:hAnsi="Verdana" w:cs="Arial"/>
          <w:sz w:val="20"/>
          <w:szCs w:val="20"/>
        </w:rPr>
        <w:t>s</w:t>
      </w:r>
      <w:r w:rsidRPr="00946C4F">
        <w:rPr>
          <w:rFonts w:ascii="Verdana" w:hAnsi="Verdana" w:cs="Arial"/>
          <w:sz w:val="20"/>
          <w:szCs w:val="20"/>
        </w:rPr>
        <w:t xml:space="preserve"> out </w:t>
      </w:r>
      <w:r>
        <w:rPr>
          <w:rFonts w:ascii="Verdana" w:hAnsi="Verdana" w:cs="Arial"/>
          <w:sz w:val="20"/>
          <w:szCs w:val="20"/>
        </w:rPr>
        <w:t xml:space="preserve">RI </w:t>
      </w:r>
      <w:r w:rsidRPr="00946C4F">
        <w:rPr>
          <w:rFonts w:ascii="Verdana" w:hAnsi="Verdana" w:cs="Arial"/>
          <w:sz w:val="20"/>
          <w:szCs w:val="20"/>
        </w:rPr>
        <w:t xml:space="preserve">requirements </w:t>
      </w:r>
      <w:r>
        <w:rPr>
          <w:rFonts w:ascii="Verdana" w:hAnsi="Verdana" w:cs="Arial"/>
          <w:sz w:val="20"/>
          <w:szCs w:val="20"/>
        </w:rPr>
        <w:t xml:space="preserve">and how they </w:t>
      </w:r>
      <w:r>
        <w:rPr>
          <w:rFonts w:ascii="Verdana" w:hAnsi="Verdana" w:cs="Arial"/>
          <w:sz w:val="20"/>
          <w:szCs w:val="20"/>
        </w:rPr>
        <w:t>in</w:t>
      </w:r>
      <w:r>
        <w:rPr>
          <w:rFonts w:ascii="Verdana" w:hAnsi="Verdana" w:cs="Arial"/>
          <w:sz w:val="20"/>
          <w:szCs w:val="20"/>
        </w:rPr>
        <w:t xml:space="preserve">form what is required </w:t>
      </w:r>
      <w:r w:rsidRPr="00946C4F">
        <w:rPr>
          <w:rFonts w:ascii="Verdana" w:hAnsi="Verdana" w:cs="Arial"/>
          <w:sz w:val="20"/>
          <w:szCs w:val="20"/>
        </w:rPr>
        <w:t>of LPP in terms of stewardship activity</w:t>
      </w:r>
      <w:r>
        <w:rPr>
          <w:rFonts w:ascii="Verdana" w:hAnsi="Verdana" w:cs="Arial"/>
          <w:sz w:val="20"/>
          <w:szCs w:val="20"/>
        </w:rPr>
        <w:t xml:space="preserve"> and monitoring </w:t>
      </w:r>
      <w:r>
        <w:rPr>
          <w:rFonts w:ascii="Verdana" w:hAnsi="Verdana" w:cs="Arial"/>
          <w:sz w:val="20"/>
          <w:szCs w:val="20"/>
        </w:rPr>
        <w:t xml:space="preserve">against </w:t>
      </w:r>
      <w:r>
        <w:rPr>
          <w:rFonts w:ascii="Verdana" w:hAnsi="Verdana" w:cs="Arial"/>
          <w:sz w:val="20"/>
          <w:szCs w:val="20"/>
        </w:rPr>
        <w:t>this</w:t>
      </w:r>
      <w:r w:rsidRPr="00946C4F">
        <w:rPr>
          <w:rFonts w:ascii="Verdana" w:hAnsi="Verdana" w:cs="Arial"/>
          <w:sz w:val="20"/>
          <w:szCs w:val="20"/>
        </w:rPr>
        <w:t xml:space="preserve">. </w:t>
      </w:r>
      <w:r>
        <w:rPr>
          <w:rFonts w:ascii="Verdana" w:hAnsi="Verdana" w:cs="Arial"/>
          <w:sz w:val="20"/>
          <w:szCs w:val="20"/>
        </w:rPr>
        <w:t>For example t</w:t>
      </w:r>
      <w:r>
        <w:rPr>
          <w:rFonts w:ascii="Verdana" w:hAnsi="Verdana" w:cs="Arial"/>
          <w:sz w:val="20"/>
          <w:szCs w:val="20"/>
        </w:rPr>
        <w:t xml:space="preserve">he Fund's Statement of Investment Principles </w:t>
      </w:r>
      <w:r>
        <w:rPr>
          <w:rFonts w:ascii="Verdana" w:hAnsi="Verdana" w:cs="Arial"/>
          <w:sz w:val="20"/>
          <w:szCs w:val="20"/>
        </w:rPr>
        <w:t>(SIP)</w:t>
      </w:r>
      <w:r>
        <w:rPr>
          <w:rFonts w:ascii="Verdana" w:hAnsi="Verdana" w:cs="Arial"/>
          <w:sz w:val="20"/>
          <w:szCs w:val="20"/>
        </w:rPr>
        <w:t xml:space="preserve"> </w:t>
      </w:r>
      <w:r>
        <w:rPr>
          <w:rFonts w:ascii="Verdana" w:hAnsi="Verdana" w:cs="Arial"/>
          <w:sz w:val="20"/>
          <w:szCs w:val="20"/>
        </w:rPr>
        <w:t xml:space="preserve">which </w:t>
      </w:r>
      <w:r>
        <w:rPr>
          <w:rFonts w:ascii="Verdana" w:hAnsi="Verdana" w:cs="Arial"/>
          <w:sz w:val="20"/>
          <w:szCs w:val="20"/>
        </w:rPr>
        <w:t xml:space="preserve">contained a level of detail on </w:t>
      </w:r>
      <w:r>
        <w:rPr>
          <w:rFonts w:ascii="Verdana" w:hAnsi="Verdana" w:cs="Arial"/>
          <w:sz w:val="20"/>
          <w:szCs w:val="20"/>
        </w:rPr>
        <w:t xml:space="preserve">the Fund's </w:t>
      </w:r>
      <w:r>
        <w:rPr>
          <w:rFonts w:ascii="Verdana" w:hAnsi="Verdana" w:cs="Arial"/>
          <w:sz w:val="20"/>
          <w:szCs w:val="20"/>
        </w:rPr>
        <w:t xml:space="preserve">preferred approach </w:t>
      </w:r>
      <w:r>
        <w:rPr>
          <w:rFonts w:ascii="Verdana" w:hAnsi="Verdana" w:cs="Arial"/>
          <w:sz w:val="20"/>
          <w:szCs w:val="20"/>
        </w:rPr>
        <w:t xml:space="preserve">to RI </w:t>
      </w:r>
      <w:r>
        <w:rPr>
          <w:rFonts w:ascii="Verdana" w:hAnsi="Verdana" w:cs="Arial"/>
          <w:sz w:val="20"/>
          <w:szCs w:val="20"/>
        </w:rPr>
        <w:t>was</w:t>
      </w:r>
      <w:r>
        <w:rPr>
          <w:rFonts w:ascii="Verdana" w:hAnsi="Verdana" w:cs="Arial"/>
          <w:sz w:val="20"/>
          <w:szCs w:val="20"/>
        </w:rPr>
        <w:t xml:space="preserve"> </w:t>
      </w:r>
      <w:r>
        <w:rPr>
          <w:rFonts w:ascii="Verdana" w:hAnsi="Verdana" w:cs="Arial"/>
          <w:sz w:val="20"/>
          <w:szCs w:val="20"/>
        </w:rPr>
        <w:t xml:space="preserve">superseded by an </w:t>
      </w:r>
      <w:r>
        <w:rPr>
          <w:rFonts w:ascii="Verdana" w:hAnsi="Verdana" w:cs="Arial"/>
          <w:sz w:val="20"/>
          <w:szCs w:val="20"/>
        </w:rPr>
        <w:t>Investment Strategy Statement</w:t>
      </w:r>
      <w:r>
        <w:rPr>
          <w:rFonts w:ascii="Verdana" w:hAnsi="Verdana" w:cs="Arial"/>
          <w:sz w:val="20"/>
          <w:szCs w:val="20"/>
        </w:rPr>
        <w:t xml:space="preserve"> </w:t>
      </w:r>
      <w:r>
        <w:rPr>
          <w:rFonts w:ascii="Verdana" w:hAnsi="Verdana" w:cs="Arial"/>
          <w:sz w:val="20"/>
          <w:szCs w:val="20"/>
        </w:rPr>
        <w:t>in October 2016</w:t>
      </w:r>
      <w:r>
        <w:rPr>
          <w:rFonts w:ascii="Verdana" w:hAnsi="Verdana" w:cs="Arial"/>
          <w:sz w:val="20"/>
          <w:szCs w:val="20"/>
        </w:rPr>
        <w:t xml:space="preserve"> which lacked this detail</w:t>
      </w:r>
      <w:r>
        <w:rPr>
          <w:rFonts w:ascii="Verdana" w:hAnsi="Verdana" w:cs="Arial"/>
          <w:sz w:val="20"/>
          <w:szCs w:val="20"/>
        </w:rPr>
        <w:t xml:space="preserve">. </w:t>
      </w:r>
      <w:r>
        <w:rPr>
          <w:rFonts w:ascii="Verdana" w:hAnsi="Verdana" w:cs="Arial"/>
          <w:sz w:val="20"/>
          <w:szCs w:val="20"/>
        </w:rPr>
        <w:t>Similarly, t</w:t>
      </w:r>
      <w:r>
        <w:rPr>
          <w:rFonts w:ascii="Verdana" w:hAnsi="Verdana" w:cs="Arial"/>
          <w:sz w:val="20"/>
          <w:szCs w:val="20"/>
        </w:rPr>
        <w:t xml:space="preserve">he timing of the redrafting of the Fund's statement of compliance with the UK Stewardship Code meant </w:t>
      </w:r>
      <w:r>
        <w:rPr>
          <w:rFonts w:ascii="Verdana" w:hAnsi="Verdana" w:cs="Arial"/>
          <w:sz w:val="20"/>
          <w:szCs w:val="20"/>
        </w:rPr>
        <w:t>it could</w:t>
      </w:r>
      <w:r>
        <w:rPr>
          <w:rFonts w:ascii="Verdana" w:hAnsi="Verdana" w:cs="Arial"/>
          <w:sz w:val="20"/>
          <w:szCs w:val="20"/>
        </w:rPr>
        <w:t xml:space="preserve"> not </w:t>
      </w:r>
      <w:r>
        <w:rPr>
          <w:rFonts w:ascii="Verdana" w:hAnsi="Verdana" w:cs="Arial"/>
          <w:sz w:val="20"/>
          <w:szCs w:val="20"/>
        </w:rPr>
        <w:t xml:space="preserve">be </w:t>
      </w:r>
      <w:r>
        <w:rPr>
          <w:rFonts w:ascii="Verdana" w:hAnsi="Verdana" w:cs="Arial"/>
          <w:sz w:val="20"/>
          <w:szCs w:val="20"/>
        </w:rPr>
        <w:t>referred to in detail within the 2</w:t>
      </w:r>
      <w:r>
        <w:rPr>
          <w:rFonts w:ascii="Verdana" w:hAnsi="Verdana" w:cs="Arial"/>
          <w:sz w:val="20"/>
          <w:szCs w:val="20"/>
        </w:rPr>
        <w:t>017 return.</w:t>
      </w:r>
    </w:p>
    <w:p w:rsidR="00FB2D92" w:rsidRDefault="00067BC0" w:rsidP="003B4083">
      <w:pPr>
        <w:spacing w:after="0"/>
        <w:rPr>
          <w:rFonts w:ascii="Verdana" w:hAnsi="Verdana" w:cs="Arial"/>
          <w:color w:val="000000"/>
          <w:sz w:val="20"/>
          <w:szCs w:val="20"/>
        </w:rPr>
      </w:pPr>
    </w:p>
    <w:p w:rsidR="001275B3" w:rsidRDefault="00067BC0" w:rsidP="003B4083">
      <w:pPr>
        <w:spacing w:after="0"/>
        <w:rPr>
          <w:rFonts w:ascii="Verdana" w:hAnsi="Verdana" w:cs="Arial"/>
          <w:sz w:val="20"/>
          <w:szCs w:val="20"/>
        </w:rPr>
      </w:pPr>
      <w:r>
        <w:rPr>
          <w:rFonts w:ascii="Verdana" w:hAnsi="Verdana" w:cs="Arial"/>
          <w:color w:val="000000"/>
          <w:sz w:val="20"/>
          <w:szCs w:val="20"/>
        </w:rPr>
        <w:t>PRI s</w:t>
      </w:r>
      <w:r w:rsidRPr="00946C4F">
        <w:rPr>
          <w:rFonts w:ascii="Verdana" w:hAnsi="Verdana" w:cs="Arial"/>
          <w:color w:val="000000"/>
          <w:sz w:val="20"/>
          <w:szCs w:val="20"/>
        </w:rPr>
        <w:t xml:space="preserve">ignatories are not aiming for </w:t>
      </w:r>
      <w:r>
        <w:rPr>
          <w:rFonts w:ascii="Verdana" w:hAnsi="Verdana" w:cs="Arial"/>
          <w:color w:val="000000"/>
          <w:sz w:val="20"/>
          <w:szCs w:val="20"/>
        </w:rPr>
        <w:t xml:space="preserve">compliance with </w:t>
      </w:r>
      <w:r>
        <w:rPr>
          <w:rFonts w:ascii="Verdana" w:hAnsi="Verdana" w:cs="Arial"/>
          <w:color w:val="000000"/>
          <w:sz w:val="20"/>
          <w:szCs w:val="20"/>
        </w:rPr>
        <w:t>a</w:t>
      </w:r>
      <w:r w:rsidRPr="00946C4F">
        <w:rPr>
          <w:rFonts w:ascii="Verdana" w:hAnsi="Verdana" w:cs="Arial"/>
          <w:color w:val="000000"/>
          <w:sz w:val="20"/>
          <w:szCs w:val="20"/>
        </w:rPr>
        <w:t xml:space="preserve"> </w:t>
      </w:r>
      <w:r>
        <w:rPr>
          <w:rFonts w:ascii="Verdana" w:hAnsi="Verdana" w:cs="Arial"/>
          <w:color w:val="000000"/>
          <w:sz w:val="20"/>
          <w:szCs w:val="20"/>
        </w:rPr>
        <w:t>single</w:t>
      </w:r>
      <w:r>
        <w:rPr>
          <w:rFonts w:ascii="Verdana" w:hAnsi="Verdana" w:cs="Arial"/>
          <w:color w:val="000000"/>
          <w:sz w:val="20"/>
          <w:szCs w:val="20"/>
        </w:rPr>
        <w:t xml:space="preserve"> </w:t>
      </w:r>
      <w:r w:rsidRPr="00946C4F">
        <w:rPr>
          <w:rFonts w:ascii="Verdana" w:hAnsi="Verdana" w:cs="Arial"/>
          <w:color w:val="000000"/>
          <w:sz w:val="20"/>
          <w:szCs w:val="20"/>
        </w:rPr>
        <w:t>formula</w:t>
      </w:r>
      <w:r>
        <w:rPr>
          <w:rFonts w:ascii="Verdana" w:hAnsi="Verdana" w:cs="Arial"/>
          <w:color w:val="000000"/>
          <w:sz w:val="20"/>
          <w:szCs w:val="20"/>
        </w:rPr>
        <w:t>ic approach.</w:t>
      </w:r>
      <w:r w:rsidRPr="00946C4F">
        <w:rPr>
          <w:rFonts w:ascii="Verdana" w:hAnsi="Verdana" w:cs="Arial"/>
          <w:color w:val="000000"/>
          <w:sz w:val="20"/>
          <w:szCs w:val="20"/>
        </w:rPr>
        <w:t xml:space="preserve"> </w:t>
      </w:r>
      <w:r>
        <w:rPr>
          <w:rFonts w:ascii="Verdana" w:hAnsi="Verdana" w:cs="Arial"/>
          <w:color w:val="000000"/>
          <w:sz w:val="20"/>
          <w:szCs w:val="20"/>
        </w:rPr>
        <w:t>A</w:t>
      </w:r>
      <w:r w:rsidRPr="00946C4F">
        <w:rPr>
          <w:rFonts w:ascii="Verdana" w:hAnsi="Verdana" w:cs="Arial"/>
          <w:color w:val="000000"/>
          <w:sz w:val="20"/>
          <w:szCs w:val="20"/>
        </w:rPr>
        <w:t xml:space="preserve">rrangements </w:t>
      </w:r>
      <w:r>
        <w:rPr>
          <w:rFonts w:ascii="Verdana" w:hAnsi="Verdana" w:cs="Arial"/>
          <w:color w:val="000000"/>
          <w:sz w:val="20"/>
          <w:szCs w:val="20"/>
        </w:rPr>
        <w:t>must</w:t>
      </w:r>
      <w:r>
        <w:rPr>
          <w:rFonts w:ascii="Verdana" w:hAnsi="Verdana" w:cs="Arial"/>
          <w:color w:val="000000"/>
          <w:sz w:val="20"/>
          <w:szCs w:val="20"/>
        </w:rPr>
        <w:t xml:space="preserve"> </w:t>
      </w:r>
      <w:r w:rsidRPr="00946C4F">
        <w:rPr>
          <w:rFonts w:ascii="Verdana" w:hAnsi="Verdana" w:cs="Arial"/>
          <w:color w:val="000000"/>
          <w:sz w:val="20"/>
          <w:szCs w:val="20"/>
        </w:rPr>
        <w:t>meet</w:t>
      </w:r>
      <w:r w:rsidRPr="00946C4F">
        <w:rPr>
          <w:rFonts w:ascii="Verdana" w:hAnsi="Verdana" w:cs="Arial"/>
          <w:color w:val="000000"/>
          <w:sz w:val="20"/>
          <w:szCs w:val="20"/>
        </w:rPr>
        <w:t xml:space="preserve"> </w:t>
      </w:r>
      <w:r>
        <w:rPr>
          <w:rFonts w:ascii="Verdana" w:hAnsi="Verdana" w:cs="Arial"/>
          <w:color w:val="000000"/>
          <w:sz w:val="20"/>
          <w:szCs w:val="20"/>
        </w:rPr>
        <w:t>signatory</w:t>
      </w:r>
      <w:r w:rsidRPr="00946C4F">
        <w:rPr>
          <w:rFonts w:ascii="Verdana" w:hAnsi="Verdana" w:cs="Arial"/>
          <w:color w:val="000000"/>
          <w:sz w:val="20"/>
          <w:szCs w:val="20"/>
        </w:rPr>
        <w:t xml:space="preserve"> needs and deliver processes matched to their underlying purpose and local investment beliefs. </w:t>
      </w:r>
      <w:r>
        <w:rPr>
          <w:rFonts w:ascii="Verdana" w:hAnsi="Verdana" w:cs="Arial"/>
          <w:color w:val="000000"/>
          <w:sz w:val="20"/>
          <w:szCs w:val="20"/>
        </w:rPr>
        <w:t>The</w:t>
      </w:r>
      <w:r w:rsidRPr="00946C4F">
        <w:rPr>
          <w:rFonts w:ascii="Verdana" w:hAnsi="Verdana" w:cs="Arial"/>
          <w:color w:val="000000"/>
          <w:sz w:val="20"/>
          <w:szCs w:val="20"/>
        </w:rPr>
        <w:t xml:space="preserve"> PRI</w:t>
      </w:r>
      <w:r>
        <w:rPr>
          <w:rFonts w:ascii="Verdana" w:hAnsi="Verdana" w:cs="Arial"/>
          <w:color w:val="000000"/>
          <w:sz w:val="20"/>
          <w:szCs w:val="20"/>
        </w:rPr>
        <w:t xml:space="preserve"> recognises</w:t>
      </w:r>
      <w:r w:rsidRPr="00946C4F">
        <w:rPr>
          <w:rFonts w:ascii="Verdana" w:hAnsi="Verdana" w:cs="Arial"/>
          <w:color w:val="000000"/>
          <w:sz w:val="20"/>
          <w:szCs w:val="20"/>
        </w:rPr>
        <w:t xml:space="preserve"> that signatories will be at varying stages and will </w:t>
      </w:r>
      <w:r>
        <w:rPr>
          <w:rFonts w:ascii="Verdana" w:hAnsi="Verdana" w:cs="Arial"/>
          <w:color w:val="000000"/>
          <w:sz w:val="20"/>
          <w:szCs w:val="20"/>
        </w:rPr>
        <w:t>follow</w:t>
      </w:r>
      <w:r w:rsidRPr="00946C4F">
        <w:rPr>
          <w:rFonts w:ascii="Verdana" w:hAnsi="Verdana" w:cs="Arial"/>
          <w:color w:val="000000"/>
          <w:sz w:val="20"/>
          <w:szCs w:val="20"/>
        </w:rPr>
        <w:t xml:space="preserve"> different methods for seeking to evolve their approach.</w:t>
      </w:r>
      <w:r w:rsidRPr="00946C4F">
        <w:rPr>
          <w:rFonts w:ascii="Verdana" w:hAnsi="Verdana" w:cs="Arial"/>
          <w:sz w:val="20"/>
          <w:szCs w:val="20"/>
        </w:rPr>
        <w:t xml:space="preserve"> </w:t>
      </w:r>
      <w:r>
        <w:rPr>
          <w:rFonts w:ascii="Verdana" w:hAnsi="Verdana" w:cs="Arial"/>
          <w:color w:val="000000"/>
          <w:sz w:val="20"/>
          <w:szCs w:val="20"/>
        </w:rPr>
        <w:t xml:space="preserve">Continuing to make progress is the core requirement. </w:t>
      </w:r>
      <w:r>
        <w:rPr>
          <w:rFonts w:ascii="Verdana" w:hAnsi="Verdana" w:cs="Arial"/>
          <w:sz w:val="20"/>
          <w:szCs w:val="20"/>
        </w:rPr>
        <w:t>C</w:t>
      </w:r>
      <w:r w:rsidRPr="00946C4F">
        <w:rPr>
          <w:rFonts w:ascii="Verdana" w:hAnsi="Verdana" w:cs="Arial"/>
          <w:sz w:val="20"/>
          <w:szCs w:val="20"/>
        </w:rPr>
        <w:t xml:space="preserve">onsideration of </w:t>
      </w:r>
      <w:r>
        <w:rPr>
          <w:rFonts w:ascii="Verdana" w:hAnsi="Verdana" w:cs="Arial"/>
          <w:sz w:val="20"/>
          <w:szCs w:val="20"/>
        </w:rPr>
        <w:t xml:space="preserve">the </w:t>
      </w:r>
      <w:r w:rsidRPr="00946C4F">
        <w:rPr>
          <w:rFonts w:ascii="Verdana" w:hAnsi="Verdana" w:cs="Arial"/>
          <w:sz w:val="20"/>
          <w:szCs w:val="20"/>
        </w:rPr>
        <w:t xml:space="preserve">ways </w:t>
      </w:r>
      <w:r>
        <w:rPr>
          <w:rFonts w:ascii="Verdana" w:hAnsi="Verdana" w:cs="Arial"/>
          <w:sz w:val="20"/>
          <w:szCs w:val="20"/>
        </w:rPr>
        <w:t>LCPF</w:t>
      </w:r>
      <w:r w:rsidRPr="00946C4F">
        <w:rPr>
          <w:rFonts w:ascii="Verdana" w:hAnsi="Verdana" w:cs="Arial"/>
          <w:sz w:val="20"/>
          <w:szCs w:val="20"/>
        </w:rPr>
        <w:t xml:space="preserve"> </w:t>
      </w:r>
      <w:r>
        <w:rPr>
          <w:rFonts w:ascii="Verdana" w:hAnsi="Verdana" w:cs="Arial"/>
          <w:sz w:val="20"/>
          <w:szCs w:val="20"/>
        </w:rPr>
        <w:t>could</w:t>
      </w:r>
      <w:r>
        <w:rPr>
          <w:rFonts w:ascii="Verdana" w:hAnsi="Verdana" w:cs="Arial"/>
          <w:sz w:val="20"/>
          <w:szCs w:val="20"/>
        </w:rPr>
        <w:t xml:space="preserve"> </w:t>
      </w:r>
      <w:r>
        <w:rPr>
          <w:rFonts w:ascii="Verdana" w:hAnsi="Verdana" w:cs="Arial"/>
          <w:sz w:val="20"/>
          <w:szCs w:val="20"/>
        </w:rPr>
        <w:t xml:space="preserve">seek to </w:t>
      </w:r>
      <w:r w:rsidRPr="00946C4F">
        <w:rPr>
          <w:rFonts w:ascii="Verdana" w:hAnsi="Verdana" w:cs="Arial"/>
          <w:sz w:val="20"/>
          <w:szCs w:val="20"/>
        </w:rPr>
        <w:t xml:space="preserve">demonstrate </w:t>
      </w:r>
      <w:r>
        <w:rPr>
          <w:rFonts w:ascii="Verdana" w:hAnsi="Verdana" w:cs="Arial"/>
          <w:sz w:val="20"/>
          <w:szCs w:val="20"/>
        </w:rPr>
        <w:t>it</w:t>
      </w:r>
      <w:r w:rsidRPr="00946C4F">
        <w:rPr>
          <w:rFonts w:ascii="Verdana" w:hAnsi="Verdana" w:cs="Arial"/>
          <w:sz w:val="20"/>
          <w:szCs w:val="20"/>
        </w:rPr>
        <w:t xml:space="preserve"> has defined </w:t>
      </w:r>
      <w:r>
        <w:rPr>
          <w:rFonts w:ascii="Verdana" w:hAnsi="Verdana" w:cs="Arial"/>
          <w:sz w:val="20"/>
          <w:szCs w:val="20"/>
        </w:rPr>
        <w:t xml:space="preserve">its RI beliefs, </w:t>
      </w:r>
      <w:r w:rsidRPr="00946C4F">
        <w:rPr>
          <w:rFonts w:ascii="Verdana" w:hAnsi="Verdana" w:cs="Arial"/>
          <w:sz w:val="20"/>
          <w:szCs w:val="20"/>
        </w:rPr>
        <w:t xml:space="preserve">set out expectations of LPP and is monitoring and holding LPP to account for delivery </w:t>
      </w:r>
      <w:r w:rsidRPr="00946C4F">
        <w:rPr>
          <w:rFonts w:ascii="Verdana" w:hAnsi="Verdana" w:cs="Arial"/>
          <w:sz w:val="20"/>
          <w:szCs w:val="20"/>
        </w:rPr>
        <w:t xml:space="preserve">against these standards </w:t>
      </w:r>
      <w:r>
        <w:rPr>
          <w:rFonts w:ascii="Verdana" w:hAnsi="Verdana" w:cs="Arial"/>
          <w:sz w:val="20"/>
          <w:szCs w:val="20"/>
        </w:rPr>
        <w:t xml:space="preserve">is </w:t>
      </w:r>
      <w:r>
        <w:rPr>
          <w:rFonts w:ascii="Verdana" w:hAnsi="Verdana" w:cs="Arial"/>
          <w:sz w:val="20"/>
          <w:szCs w:val="20"/>
        </w:rPr>
        <w:t>a potentially fruitful way to demonstrate</w:t>
      </w:r>
      <w:r w:rsidRPr="00946C4F">
        <w:rPr>
          <w:rFonts w:ascii="Verdana" w:hAnsi="Verdana" w:cs="Arial"/>
          <w:sz w:val="20"/>
          <w:szCs w:val="20"/>
        </w:rPr>
        <w:t xml:space="preserve"> </w:t>
      </w:r>
      <w:r>
        <w:rPr>
          <w:rFonts w:ascii="Verdana" w:hAnsi="Verdana" w:cs="Arial"/>
          <w:sz w:val="20"/>
          <w:szCs w:val="20"/>
        </w:rPr>
        <w:t xml:space="preserve">further </w:t>
      </w:r>
      <w:r w:rsidRPr="00946C4F">
        <w:rPr>
          <w:rFonts w:ascii="Verdana" w:hAnsi="Verdana" w:cs="Arial"/>
          <w:sz w:val="20"/>
          <w:szCs w:val="20"/>
        </w:rPr>
        <w:t>progress over the next 12 months</w:t>
      </w:r>
      <w:r>
        <w:rPr>
          <w:rFonts w:ascii="Verdana" w:hAnsi="Verdana" w:cs="Arial"/>
          <w:sz w:val="20"/>
          <w:szCs w:val="20"/>
        </w:rPr>
        <w:t xml:space="preserve"> </w:t>
      </w:r>
      <w:r>
        <w:rPr>
          <w:rFonts w:ascii="Verdana" w:hAnsi="Verdana" w:cs="Arial"/>
          <w:sz w:val="20"/>
          <w:szCs w:val="20"/>
        </w:rPr>
        <w:t xml:space="preserve">and something </w:t>
      </w:r>
      <w:r>
        <w:rPr>
          <w:rFonts w:ascii="Verdana" w:hAnsi="Verdana" w:cs="Arial"/>
          <w:sz w:val="20"/>
          <w:szCs w:val="20"/>
        </w:rPr>
        <w:t>the Fund may wish to explore</w:t>
      </w:r>
      <w:r w:rsidRPr="00946C4F">
        <w:rPr>
          <w:rFonts w:ascii="Verdana" w:hAnsi="Verdana" w:cs="Arial"/>
          <w:sz w:val="20"/>
          <w:szCs w:val="20"/>
        </w:rPr>
        <w:t>.</w:t>
      </w:r>
      <w:r w:rsidRPr="00946C4F">
        <w:rPr>
          <w:rFonts w:ascii="Verdana" w:hAnsi="Verdana" w:cs="Arial"/>
          <w:sz w:val="20"/>
          <w:szCs w:val="20"/>
        </w:rPr>
        <w:t xml:space="preserve"> </w:t>
      </w:r>
    </w:p>
    <w:p w:rsidR="001275B3" w:rsidRDefault="00067BC0" w:rsidP="003B4083">
      <w:pPr>
        <w:spacing w:after="0"/>
        <w:rPr>
          <w:rFonts w:ascii="Verdana" w:hAnsi="Verdana" w:cs="Arial"/>
          <w:sz w:val="20"/>
          <w:szCs w:val="20"/>
        </w:rPr>
      </w:pPr>
    </w:p>
    <w:p w:rsidR="007960A9" w:rsidRDefault="00067BC0" w:rsidP="003B4083">
      <w:pPr>
        <w:spacing w:after="0"/>
        <w:rPr>
          <w:rFonts w:ascii="Verdana" w:hAnsi="Verdana" w:cs="Verdana"/>
          <w:b/>
          <w:sz w:val="20"/>
          <w:szCs w:val="20"/>
        </w:rPr>
      </w:pPr>
      <w:r w:rsidRPr="002F1F2D">
        <w:rPr>
          <w:rFonts w:ascii="Verdana" w:hAnsi="Verdana" w:cs="Verdana"/>
          <w:b/>
          <w:sz w:val="20"/>
          <w:szCs w:val="20"/>
        </w:rPr>
        <w:t>Statement of Compliance with the UK Stewardship Code</w:t>
      </w:r>
    </w:p>
    <w:p w:rsidR="00694976" w:rsidRPr="001275B3" w:rsidRDefault="00067BC0" w:rsidP="003B4083">
      <w:pPr>
        <w:spacing w:after="0"/>
        <w:rPr>
          <w:rFonts w:ascii="Verdana" w:hAnsi="Verdana" w:cs="Arial"/>
          <w:sz w:val="20"/>
          <w:szCs w:val="20"/>
        </w:rPr>
      </w:pPr>
    </w:p>
    <w:p w:rsidR="00B739E0" w:rsidRPr="00B739E0" w:rsidRDefault="00067BC0" w:rsidP="003B4083">
      <w:pPr>
        <w:autoSpaceDE w:val="0"/>
        <w:autoSpaceDN w:val="0"/>
        <w:adjustRightInd w:val="0"/>
        <w:spacing w:after="0" w:line="240" w:lineRule="auto"/>
        <w:rPr>
          <w:rFonts w:ascii="Verdana" w:hAnsi="Verdana" w:cs="Verdana"/>
          <w:sz w:val="20"/>
          <w:szCs w:val="20"/>
        </w:rPr>
      </w:pPr>
      <w:r w:rsidRPr="00B739E0">
        <w:rPr>
          <w:rFonts w:ascii="Verdana" w:hAnsi="Verdana" w:cs="Verdana"/>
          <w:sz w:val="20"/>
          <w:szCs w:val="20"/>
        </w:rPr>
        <w:t xml:space="preserve">An updated statement of compliance with the UK Stewardship Code has been drafted </w:t>
      </w:r>
      <w:r w:rsidRPr="00B739E0">
        <w:rPr>
          <w:rFonts w:ascii="Verdana" w:hAnsi="Verdana" w:cs="Verdana"/>
          <w:sz w:val="20"/>
          <w:szCs w:val="20"/>
        </w:rPr>
        <w:t xml:space="preserve">for the Fund </w:t>
      </w:r>
      <w:r w:rsidRPr="00B739E0">
        <w:rPr>
          <w:rFonts w:ascii="Verdana" w:hAnsi="Verdana" w:cs="Verdana"/>
          <w:sz w:val="20"/>
          <w:szCs w:val="20"/>
        </w:rPr>
        <w:t xml:space="preserve">and submitted to the Financial </w:t>
      </w:r>
      <w:r w:rsidRPr="00B739E0">
        <w:rPr>
          <w:rFonts w:ascii="Verdana" w:hAnsi="Verdana" w:cs="Verdana"/>
          <w:sz w:val="20"/>
          <w:szCs w:val="20"/>
        </w:rPr>
        <w:t>Reporting Council</w:t>
      </w:r>
      <w:r w:rsidRPr="00B739E0">
        <w:rPr>
          <w:rFonts w:ascii="Verdana" w:hAnsi="Verdana" w:cs="Verdana"/>
          <w:sz w:val="20"/>
          <w:szCs w:val="20"/>
        </w:rPr>
        <w:t xml:space="preserve"> for assessment</w:t>
      </w:r>
      <w:r w:rsidRPr="00B739E0">
        <w:rPr>
          <w:rFonts w:ascii="Verdana" w:hAnsi="Verdana" w:cs="Verdana"/>
          <w:sz w:val="20"/>
          <w:szCs w:val="20"/>
        </w:rPr>
        <w:t xml:space="preserve">.  The need for an updated statement </w:t>
      </w:r>
      <w:r w:rsidRPr="00B739E0">
        <w:rPr>
          <w:rFonts w:ascii="Verdana" w:hAnsi="Verdana" w:cs="Verdana"/>
          <w:sz w:val="20"/>
          <w:szCs w:val="20"/>
        </w:rPr>
        <w:t xml:space="preserve">was </w:t>
      </w:r>
      <w:r w:rsidRPr="00B739E0">
        <w:rPr>
          <w:rFonts w:ascii="Verdana" w:hAnsi="Verdana" w:cs="Verdana"/>
          <w:sz w:val="20"/>
          <w:szCs w:val="20"/>
        </w:rPr>
        <w:t>twofold</w:t>
      </w:r>
      <w:r>
        <w:rPr>
          <w:rFonts w:ascii="Verdana" w:hAnsi="Verdana" w:cs="Verdana"/>
          <w:sz w:val="20"/>
          <w:szCs w:val="20"/>
        </w:rPr>
        <w:t>;</w:t>
      </w:r>
    </w:p>
    <w:p w:rsidR="00B739E0" w:rsidRPr="00B739E0" w:rsidRDefault="00067BC0" w:rsidP="00694976">
      <w:pPr>
        <w:numPr>
          <w:ilvl w:val="0"/>
          <w:numId w:val="17"/>
        </w:numPr>
        <w:spacing w:after="0" w:line="240" w:lineRule="auto"/>
        <w:ind w:left="567" w:hanging="567"/>
        <w:rPr>
          <w:rFonts w:ascii="Verdana" w:hAnsi="Verdana"/>
          <w:color w:val="000000"/>
          <w:sz w:val="20"/>
          <w:szCs w:val="20"/>
        </w:rPr>
      </w:pPr>
      <w:r w:rsidRPr="00B739E0">
        <w:rPr>
          <w:rFonts w:ascii="Verdana" w:hAnsi="Verdana"/>
          <w:color w:val="000000"/>
          <w:sz w:val="20"/>
          <w:szCs w:val="20"/>
        </w:rPr>
        <w:t>to reflect the practical and regulatory changes which have accompanied the establishment of the Local Pensions Partnership and the transition to assets under pooled management arrangements</w:t>
      </w:r>
      <w:r>
        <w:rPr>
          <w:rFonts w:ascii="Verdana" w:hAnsi="Verdana"/>
          <w:color w:val="000000"/>
          <w:sz w:val="20"/>
          <w:szCs w:val="20"/>
        </w:rPr>
        <w:t>;</w:t>
      </w:r>
    </w:p>
    <w:p w:rsidR="00B739E0" w:rsidRPr="00B739E0" w:rsidRDefault="00067BC0" w:rsidP="00694976">
      <w:pPr>
        <w:numPr>
          <w:ilvl w:val="0"/>
          <w:numId w:val="17"/>
        </w:numPr>
        <w:spacing w:after="0" w:line="240" w:lineRule="auto"/>
        <w:ind w:left="567" w:hanging="567"/>
        <w:rPr>
          <w:rFonts w:ascii="Verdana" w:hAnsi="Verdana"/>
          <w:color w:val="000000"/>
          <w:sz w:val="20"/>
          <w:szCs w:val="20"/>
        </w:rPr>
      </w:pPr>
      <w:r>
        <w:rPr>
          <w:rFonts w:ascii="Verdana" w:hAnsi="Verdana"/>
          <w:color w:val="000000"/>
          <w:sz w:val="20"/>
          <w:szCs w:val="20"/>
        </w:rPr>
        <w:t xml:space="preserve">as part of </w:t>
      </w:r>
      <w:r w:rsidRPr="00B739E0">
        <w:rPr>
          <w:rFonts w:ascii="Verdana" w:hAnsi="Verdana"/>
          <w:color w:val="000000"/>
          <w:sz w:val="20"/>
          <w:szCs w:val="20"/>
        </w:rPr>
        <w:t>the introduction of "tiering" by the FRC in 20</w:t>
      </w:r>
      <w:r w:rsidRPr="00B739E0">
        <w:rPr>
          <w:rFonts w:ascii="Verdana" w:hAnsi="Verdana"/>
          <w:color w:val="000000"/>
          <w:sz w:val="20"/>
          <w:szCs w:val="20"/>
        </w:rPr>
        <w:t>16 to encourage greater detail and transparency of disclosure</w:t>
      </w:r>
      <w:r>
        <w:rPr>
          <w:rFonts w:ascii="Verdana" w:hAnsi="Verdana"/>
          <w:color w:val="000000"/>
          <w:sz w:val="20"/>
          <w:szCs w:val="20"/>
        </w:rPr>
        <w:t>.</w:t>
      </w:r>
      <w:r w:rsidRPr="00B739E0">
        <w:rPr>
          <w:rFonts w:ascii="Verdana" w:hAnsi="Verdana"/>
          <w:color w:val="000000"/>
          <w:sz w:val="20"/>
          <w:szCs w:val="20"/>
        </w:rPr>
        <w:t xml:space="preserve"> </w:t>
      </w:r>
    </w:p>
    <w:p w:rsidR="001275B3" w:rsidRDefault="00067BC0" w:rsidP="003B4083">
      <w:pPr>
        <w:spacing w:after="0"/>
        <w:rPr>
          <w:rFonts w:ascii="Verdana" w:hAnsi="Verdana"/>
          <w:color w:val="000000"/>
          <w:sz w:val="20"/>
          <w:szCs w:val="20"/>
        </w:rPr>
      </w:pPr>
    </w:p>
    <w:p w:rsidR="005D3D44" w:rsidRPr="00B739E0" w:rsidRDefault="00067BC0" w:rsidP="003B4083">
      <w:pPr>
        <w:spacing w:after="0"/>
        <w:rPr>
          <w:rFonts w:ascii="Verdana" w:hAnsi="Verdana" w:cs="Arial"/>
          <w:color w:val="000000"/>
          <w:sz w:val="20"/>
          <w:szCs w:val="20"/>
        </w:rPr>
      </w:pPr>
      <w:r w:rsidRPr="00B739E0">
        <w:rPr>
          <w:rFonts w:ascii="Verdana" w:hAnsi="Verdana"/>
          <w:color w:val="000000"/>
          <w:sz w:val="20"/>
          <w:szCs w:val="20"/>
        </w:rPr>
        <w:t xml:space="preserve">Under the </w:t>
      </w:r>
      <w:r w:rsidRPr="00B739E0">
        <w:rPr>
          <w:rFonts w:ascii="Verdana" w:hAnsi="Verdana"/>
          <w:color w:val="000000"/>
          <w:sz w:val="20"/>
          <w:szCs w:val="20"/>
        </w:rPr>
        <w:t xml:space="preserve">FRC's </w:t>
      </w:r>
      <w:r w:rsidRPr="00B739E0">
        <w:rPr>
          <w:rFonts w:ascii="Verdana" w:hAnsi="Verdana"/>
          <w:color w:val="000000"/>
          <w:sz w:val="20"/>
          <w:szCs w:val="20"/>
        </w:rPr>
        <w:t>new approach, s</w:t>
      </w:r>
      <w:r w:rsidRPr="00B739E0">
        <w:rPr>
          <w:rFonts w:ascii="Verdana" w:hAnsi="Verdana" w:cs="Arial"/>
          <w:color w:val="000000"/>
          <w:sz w:val="20"/>
          <w:szCs w:val="20"/>
        </w:rPr>
        <w:t xml:space="preserve">ignatories to the Code are tiered according to the quality of </w:t>
      </w:r>
      <w:r w:rsidRPr="00B739E0">
        <w:rPr>
          <w:rFonts w:ascii="Verdana" w:hAnsi="Verdana" w:cs="Arial"/>
          <w:color w:val="000000"/>
          <w:sz w:val="20"/>
          <w:szCs w:val="20"/>
        </w:rPr>
        <w:t>the</w:t>
      </w:r>
      <w:r>
        <w:rPr>
          <w:rFonts w:ascii="Verdana" w:hAnsi="Verdana" w:cs="Arial"/>
          <w:color w:val="000000"/>
          <w:sz w:val="20"/>
          <w:szCs w:val="20"/>
        </w:rPr>
        <w:t>ir</w:t>
      </w:r>
      <w:r w:rsidRPr="00B739E0">
        <w:rPr>
          <w:rFonts w:ascii="Verdana" w:hAnsi="Verdana" w:cs="Arial"/>
          <w:color w:val="000000"/>
          <w:sz w:val="20"/>
          <w:szCs w:val="20"/>
        </w:rPr>
        <w:t xml:space="preserve"> </w:t>
      </w:r>
      <w:r w:rsidRPr="00B739E0">
        <w:rPr>
          <w:rFonts w:ascii="Verdana" w:hAnsi="Verdana" w:cs="Arial"/>
          <w:color w:val="000000"/>
          <w:sz w:val="20"/>
          <w:szCs w:val="20"/>
        </w:rPr>
        <w:t xml:space="preserve">disclosure </w:t>
      </w:r>
      <w:r>
        <w:rPr>
          <w:rFonts w:ascii="Verdana" w:hAnsi="Verdana" w:cs="Arial"/>
          <w:color w:val="000000"/>
          <w:sz w:val="20"/>
          <w:szCs w:val="20"/>
        </w:rPr>
        <w:t>against</w:t>
      </w:r>
      <w:r w:rsidRPr="00B739E0">
        <w:rPr>
          <w:rFonts w:ascii="Verdana" w:hAnsi="Verdana" w:cs="Arial"/>
          <w:color w:val="000000"/>
          <w:sz w:val="20"/>
          <w:szCs w:val="20"/>
        </w:rPr>
        <w:t xml:space="preserve"> the seven principles of the Code and supporting guidance. Asset </w:t>
      </w:r>
      <w:r>
        <w:rPr>
          <w:rFonts w:ascii="Verdana" w:hAnsi="Verdana" w:cs="Arial"/>
          <w:color w:val="000000"/>
          <w:sz w:val="20"/>
          <w:szCs w:val="20"/>
        </w:rPr>
        <w:t xml:space="preserve">owner </w:t>
      </w:r>
      <w:r>
        <w:rPr>
          <w:rFonts w:ascii="Verdana" w:hAnsi="Verdana" w:cs="Arial"/>
          <w:color w:val="000000"/>
          <w:sz w:val="20"/>
          <w:szCs w:val="20"/>
        </w:rPr>
        <w:t>statements</w:t>
      </w:r>
      <w:r w:rsidRPr="00B739E0">
        <w:rPr>
          <w:rFonts w:ascii="Verdana" w:hAnsi="Verdana" w:cs="Arial"/>
          <w:color w:val="000000"/>
          <w:sz w:val="20"/>
          <w:szCs w:val="20"/>
        </w:rPr>
        <w:t xml:space="preserve"> are categorised into one of two tiers</w:t>
      </w:r>
      <w:r>
        <w:rPr>
          <w:rFonts w:ascii="Verdana" w:hAnsi="Verdana" w:cs="Arial"/>
          <w:color w:val="000000"/>
          <w:sz w:val="20"/>
          <w:szCs w:val="20"/>
        </w:rPr>
        <w:t>,</w:t>
      </w:r>
      <w:r w:rsidRPr="00B739E0">
        <w:rPr>
          <w:rFonts w:ascii="Verdana" w:hAnsi="Verdana" w:cs="Arial"/>
          <w:color w:val="000000"/>
          <w:sz w:val="20"/>
          <w:szCs w:val="20"/>
        </w:rPr>
        <w:t xml:space="preserve"> Tier 1 (high quality with transparent disclos</w:t>
      </w:r>
      <w:r>
        <w:rPr>
          <w:rFonts w:ascii="Verdana" w:hAnsi="Verdana" w:cs="Arial"/>
          <w:color w:val="000000"/>
          <w:sz w:val="20"/>
          <w:szCs w:val="20"/>
        </w:rPr>
        <w:t xml:space="preserve">ure) or Tier 2 (satisfactory, </w:t>
      </w:r>
      <w:r w:rsidRPr="00B739E0">
        <w:rPr>
          <w:rFonts w:ascii="Verdana" w:hAnsi="Verdana" w:cs="Arial"/>
          <w:color w:val="000000"/>
          <w:sz w:val="20"/>
          <w:szCs w:val="20"/>
        </w:rPr>
        <w:t>improve</w:t>
      </w:r>
      <w:r w:rsidRPr="00B739E0">
        <w:rPr>
          <w:rFonts w:ascii="Verdana" w:hAnsi="Verdana" w:cs="Arial"/>
          <w:color w:val="000000"/>
          <w:sz w:val="20"/>
          <w:szCs w:val="20"/>
        </w:rPr>
        <w:t>d</w:t>
      </w:r>
      <w:r w:rsidRPr="00B739E0">
        <w:rPr>
          <w:rFonts w:ascii="Verdana" w:hAnsi="Verdana" w:cs="Arial"/>
          <w:color w:val="000000"/>
          <w:sz w:val="20"/>
          <w:szCs w:val="20"/>
        </w:rPr>
        <w:t xml:space="preserve"> transparency</w:t>
      </w:r>
      <w:r>
        <w:rPr>
          <w:rFonts w:ascii="Verdana" w:hAnsi="Verdana" w:cs="Arial"/>
          <w:color w:val="000000"/>
          <w:sz w:val="20"/>
          <w:szCs w:val="20"/>
        </w:rPr>
        <w:t xml:space="preserve"> warranted</w:t>
      </w:r>
      <w:r w:rsidRPr="00B739E0">
        <w:rPr>
          <w:rFonts w:ascii="Verdana" w:hAnsi="Verdana" w:cs="Arial"/>
          <w:color w:val="000000"/>
          <w:sz w:val="20"/>
          <w:szCs w:val="20"/>
        </w:rPr>
        <w:t>).  </w:t>
      </w:r>
    </w:p>
    <w:p w:rsidR="005F6EF6" w:rsidRDefault="00067BC0" w:rsidP="003B4083">
      <w:pPr>
        <w:autoSpaceDE w:val="0"/>
        <w:autoSpaceDN w:val="0"/>
        <w:adjustRightInd w:val="0"/>
        <w:spacing w:after="0" w:line="240" w:lineRule="auto"/>
        <w:rPr>
          <w:rFonts w:ascii="Verdana" w:hAnsi="Verdana" w:cs="Verdana"/>
          <w:sz w:val="20"/>
          <w:szCs w:val="20"/>
        </w:rPr>
      </w:pPr>
    </w:p>
    <w:p w:rsidR="00BA1B19" w:rsidRPr="00B739E0" w:rsidRDefault="00067BC0" w:rsidP="003B408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 copy of the Fund's new statement </w:t>
      </w:r>
      <w:r>
        <w:rPr>
          <w:rFonts w:ascii="Verdana" w:hAnsi="Verdana" w:cs="Verdana"/>
          <w:sz w:val="20"/>
          <w:szCs w:val="20"/>
        </w:rPr>
        <w:t xml:space="preserve">of compliance </w:t>
      </w:r>
      <w:r>
        <w:rPr>
          <w:rFonts w:ascii="Verdana" w:hAnsi="Verdana" w:cs="Verdana"/>
          <w:sz w:val="20"/>
          <w:szCs w:val="20"/>
        </w:rPr>
        <w:t xml:space="preserve">appears at </w:t>
      </w:r>
      <w:r w:rsidRPr="0044001A">
        <w:rPr>
          <w:rFonts w:ascii="Verdana" w:hAnsi="Verdana" w:cs="Verdana"/>
          <w:b/>
          <w:sz w:val="20"/>
          <w:szCs w:val="20"/>
        </w:rPr>
        <w:t>A</w:t>
      </w:r>
      <w:r w:rsidRPr="0044001A">
        <w:rPr>
          <w:rFonts w:ascii="Verdana" w:hAnsi="Verdana" w:cs="Verdana"/>
          <w:b/>
          <w:sz w:val="20"/>
          <w:szCs w:val="20"/>
        </w:rPr>
        <w:t xml:space="preserve">ppendix </w:t>
      </w:r>
      <w:r w:rsidR="00A21E82">
        <w:rPr>
          <w:rFonts w:ascii="Verdana" w:hAnsi="Verdana" w:cs="Verdana"/>
          <w:b/>
          <w:sz w:val="20"/>
          <w:szCs w:val="20"/>
        </w:rPr>
        <w:t>2</w:t>
      </w:r>
      <w:r w:rsidRPr="0044001A">
        <w:rPr>
          <w:rFonts w:ascii="Verdana" w:hAnsi="Verdana" w:cs="Verdana"/>
          <w:b/>
          <w:sz w:val="20"/>
          <w:szCs w:val="20"/>
        </w:rPr>
        <w:t>.</w:t>
      </w:r>
    </w:p>
    <w:p w:rsidR="00F23139" w:rsidRPr="002F1F2D" w:rsidRDefault="00067BC0" w:rsidP="003B4083">
      <w:pPr>
        <w:autoSpaceDE w:val="0"/>
        <w:autoSpaceDN w:val="0"/>
        <w:adjustRightInd w:val="0"/>
        <w:spacing w:after="0" w:line="240" w:lineRule="auto"/>
        <w:rPr>
          <w:rFonts w:ascii="Verdana" w:hAnsi="Verdana" w:cs="Verdana"/>
          <w:sz w:val="20"/>
          <w:szCs w:val="20"/>
        </w:rPr>
      </w:pPr>
    </w:p>
    <w:p w:rsidR="008E62D7" w:rsidRDefault="00067BC0" w:rsidP="008E62D7">
      <w:p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sidRPr="00B739E0">
        <w:rPr>
          <w:rFonts w:ascii="Verdana" w:hAnsi="Verdana" w:cs="Verdana"/>
          <w:sz w:val="20"/>
          <w:szCs w:val="20"/>
        </w:rPr>
        <w:t xml:space="preserve">he Chair of the </w:t>
      </w:r>
      <w:r w:rsidRPr="00B739E0">
        <w:rPr>
          <w:rFonts w:ascii="Verdana" w:hAnsi="Verdana" w:cs="Verdana"/>
          <w:sz w:val="20"/>
          <w:szCs w:val="20"/>
        </w:rPr>
        <w:t>Pension Fund Committee approv</w:t>
      </w:r>
      <w:r>
        <w:rPr>
          <w:rFonts w:ascii="Verdana" w:hAnsi="Verdana" w:cs="Verdana"/>
          <w:sz w:val="20"/>
          <w:szCs w:val="20"/>
        </w:rPr>
        <w:t>ed</w:t>
      </w:r>
      <w:r w:rsidRPr="00B739E0">
        <w:rPr>
          <w:rFonts w:ascii="Verdana" w:hAnsi="Verdana" w:cs="Verdana"/>
          <w:sz w:val="20"/>
          <w:szCs w:val="20"/>
        </w:rPr>
        <w:t xml:space="preserve"> </w:t>
      </w:r>
      <w:r>
        <w:rPr>
          <w:rFonts w:ascii="Verdana" w:hAnsi="Verdana" w:cs="Verdana"/>
          <w:sz w:val="20"/>
          <w:szCs w:val="20"/>
        </w:rPr>
        <w:t xml:space="preserve">the statement for submission to the FRC </w:t>
      </w:r>
      <w:r w:rsidRPr="00B739E0">
        <w:rPr>
          <w:rFonts w:ascii="Verdana" w:hAnsi="Verdana" w:cs="Verdana"/>
          <w:sz w:val="20"/>
          <w:szCs w:val="20"/>
        </w:rPr>
        <w:t>unde</w:t>
      </w:r>
      <w:r>
        <w:rPr>
          <w:rFonts w:ascii="Verdana" w:hAnsi="Verdana" w:cs="Verdana"/>
          <w:sz w:val="20"/>
          <w:szCs w:val="20"/>
        </w:rPr>
        <w:t>r the urgent business proce</w:t>
      </w:r>
      <w:r>
        <w:rPr>
          <w:rFonts w:ascii="Verdana" w:hAnsi="Verdana" w:cs="Verdana"/>
          <w:sz w:val="20"/>
          <w:szCs w:val="20"/>
        </w:rPr>
        <w:t>dure</w:t>
      </w:r>
      <w:r>
        <w:rPr>
          <w:rFonts w:ascii="Verdana" w:hAnsi="Verdana" w:cs="Verdana"/>
          <w:sz w:val="20"/>
          <w:szCs w:val="20"/>
        </w:rPr>
        <w:t xml:space="preserve"> after </w:t>
      </w:r>
      <w:r>
        <w:rPr>
          <w:rFonts w:ascii="Verdana" w:hAnsi="Verdana" w:cs="Verdana"/>
          <w:sz w:val="20"/>
          <w:szCs w:val="20"/>
        </w:rPr>
        <w:t>m</w:t>
      </w:r>
      <w:r w:rsidRPr="00B739E0">
        <w:rPr>
          <w:rFonts w:ascii="Verdana" w:hAnsi="Verdana" w:cs="Verdana"/>
          <w:sz w:val="20"/>
          <w:szCs w:val="20"/>
        </w:rPr>
        <w:t xml:space="preserve">embers of the Lancashire Local Pension Board </w:t>
      </w:r>
      <w:r>
        <w:rPr>
          <w:rFonts w:ascii="Verdana" w:hAnsi="Verdana" w:cs="Verdana"/>
          <w:sz w:val="20"/>
          <w:szCs w:val="20"/>
        </w:rPr>
        <w:t>had been</w:t>
      </w:r>
      <w:r w:rsidRPr="00B739E0">
        <w:rPr>
          <w:rFonts w:ascii="Verdana" w:hAnsi="Verdana" w:cs="Verdana"/>
          <w:sz w:val="20"/>
          <w:szCs w:val="20"/>
        </w:rPr>
        <w:t xml:space="preserve"> given the opportunity to provide comments on a</w:t>
      </w:r>
      <w:r>
        <w:rPr>
          <w:rFonts w:ascii="Verdana" w:hAnsi="Verdana" w:cs="Verdana"/>
          <w:sz w:val="20"/>
          <w:szCs w:val="20"/>
        </w:rPr>
        <w:t>n initial draft.</w:t>
      </w:r>
    </w:p>
    <w:p w:rsidR="00E04E31" w:rsidRPr="008E62D7" w:rsidRDefault="00067BC0" w:rsidP="008E62D7">
      <w:pPr>
        <w:autoSpaceDE w:val="0"/>
        <w:autoSpaceDN w:val="0"/>
        <w:adjustRightInd w:val="0"/>
        <w:spacing w:after="0" w:line="240" w:lineRule="auto"/>
        <w:rPr>
          <w:rFonts w:ascii="Verdana" w:hAnsi="Verdana" w:cs="Verdana"/>
          <w:sz w:val="20"/>
          <w:szCs w:val="20"/>
        </w:rPr>
      </w:pPr>
      <w:r w:rsidRPr="002F1F2D">
        <w:rPr>
          <w:rFonts w:ascii="Verdana" w:hAnsi="Verdana" w:cs="Verdana"/>
          <w:sz w:val="20"/>
          <w:szCs w:val="20"/>
        </w:rPr>
        <w:t>The Committee will be ad</w:t>
      </w:r>
      <w:r w:rsidRPr="002F1F2D">
        <w:rPr>
          <w:rFonts w:ascii="Verdana" w:hAnsi="Verdana" w:cs="Verdana"/>
          <w:sz w:val="20"/>
          <w:szCs w:val="20"/>
        </w:rPr>
        <w:t xml:space="preserve">vised about the outcome of the tiering decision once this has been communicated by the </w:t>
      </w:r>
      <w:r w:rsidRPr="002F1F2D">
        <w:rPr>
          <w:rFonts w:ascii="Verdana" w:hAnsi="Verdana" w:cs="Verdana"/>
          <w:sz w:val="20"/>
          <w:szCs w:val="20"/>
        </w:rPr>
        <w:t xml:space="preserve">FRC. On </w:t>
      </w:r>
      <w:r>
        <w:rPr>
          <w:rFonts w:ascii="Verdana" w:hAnsi="Verdana" w:cs="Verdana"/>
          <w:sz w:val="20"/>
          <w:szCs w:val="20"/>
        </w:rPr>
        <w:t xml:space="preserve">the </w:t>
      </w:r>
      <w:r w:rsidRPr="002F1F2D">
        <w:rPr>
          <w:rFonts w:ascii="Verdana" w:hAnsi="Verdana" w:cs="Verdana"/>
          <w:sz w:val="20"/>
          <w:szCs w:val="20"/>
        </w:rPr>
        <w:t>completion of th</w:t>
      </w:r>
      <w:r>
        <w:rPr>
          <w:rFonts w:ascii="Verdana" w:hAnsi="Verdana" w:cs="Verdana"/>
          <w:sz w:val="20"/>
          <w:szCs w:val="20"/>
        </w:rPr>
        <w:t xml:space="preserve">e assessment </w:t>
      </w:r>
      <w:r w:rsidRPr="002F1F2D">
        <w:rPr>
          <w:rFonts w:ascii="Verdana" w:hAnsi="Verdana" w:cs="Verdana"/>
          <w:sz w:val="20"/>
          <w:szCs w:val="20"/>
        </w:rPr>
        <w:t xml:space="preserve">process the Fund's new statement will </w:t>
      </w:r>
      <w:r>
        <w:rPr>
          <w:rFonts w:ascii="Verdana" w:hAnsi="Verdana" w:cs="Verdana"/>
          <w:sz w:val="20"/>
          <w:szCs w:val="20"/>
        </w:rPr>
        <w:t xml:space="preserve">be published </w:t>
      </w:r>
      <w:r w:rsidRPr="002F1F2D">
        <w:rPr>
          <w:rFonts w:ascii="Verdana" w:hAnsi="Verdana" w:cs="Verdana"/>
          <w:sz w:val="20"/>
          <w:szCs w:val="20"/>
        </w:rPr>
        <w:t>on the FRC website and LCPF will be re-instated as a signatory to the Code.</w:t>
      </w:r>
    </w:p>
    <w:sectPr w:rsidR="00E04E31" w:rsidRPr="008E62D7" w:rsidSect="00B23C16">
      <w:footerReference w:type="default" r:id="rId12"/>
      <w:headerReference w:type="firs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7BC0">
      <w:pPr>
        <w:spacing w:after="0" w:line="240" w:lineRule="auto"/>
      </w:pPr>
      <w:r>
        <w:separator/>
      </w:r>
    </w:p>
  </w:endnote>
  <w:endnote w:type="continuationSeparator" w:id="0">
    <w:p w:rsidR="00000000" w:rsidRDefault="0006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97o00">
    <w:panose1 w:val="00000000000000000000"/>
    <w:charset w:val="00"/>
    <w:family w:val="auto"/>
    <w:notTrueType/>
    <w:pitch w:val="default"/>
    <w:sig w:usb0="00000003" w:usb1="00000000" w:usb2="00000000" w:usb3="00000000" w:csb0="00000001" w:csb1="00000000"/>
  </w:font>
  <w:font w:name="TT3BA2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Seravek-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35" w:rsidRDefault="00067BC0">
    <w:pPr>
      <w:pStyle w:val="Footer"/>
    </w:pPr>
  </w:p>
  <w:p w:rsidR="00791E35" w:rsidRDefault="0006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7BC0">
      <w:pPr>
        <w:spacing w:after="0" w:line="240" w:lineRule="auto"/>
      </w:pPr>
      <w:r>
        <w:separator/>
      </w:r>
    </w:p>
  </w:footnote>
  <w:footnote w:type="continuationSeparator" w:id="0">
    <w:p w:rsidR="00000000" w:rsidRDefault="00067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35" w:rsidRDefault="00067BC0">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1" name="Picture 1"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E35" w:rsidRDefault="00067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A08"/>
    <w:multiLevelType w:val="multilevel"/>
    <w:tmpl w:val="9B6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E3A13"/>
    <w:multiLevelType w:val="multilevel"/>
    <w:tmpl w:val="38D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0026F"/>
    <w:multiLevelType w:val="hybridMultilevel"/>
    <w:tmpl w:val="FBE2CC28"/>
    <w:lvl w:ilvl="0" w:tplc="39246E4E">
      <w:start w:val="1"/>
      <w:numFmt w:val="bullet"/>
      <w:lvlText w:val=""/>
      <w:lvlJc w:val="left"/>
      <w:pPr>
        <w:ind w:left="2160" w:hanging="360"/>
      </w:pPr>
      <w:rPr>
        <w:rFonts w:ascii="Symbol" w:hAnsi="Symbol" w:hint="default"/>
      </w:rPr>
    </w:lvl>
    <w:lvl w:ilvl="1" w:tplc="47E8EC4C">
      <w:start w:val="1"/>
      <w:numFmt w:val="bullet"/>
      <w:lvlText w:val=""/>
      <w:lvlJc w:val="left"/>
      <w:pPr>
        <w:ind w:left="2880" w:hanging="360"/>
      </w:pPr>
      <w:rPr>
        <w:rFonts w:ascii="Symbol" w:hAnsi="Symbol" w:hint="default"/>
      </w:rPr>
    </w:lvl>
    <w:lvl w:ilvl="2" w:tplc="BB08D6A6" w:tentative="1">
      <w:start w:val="1"/>
      <w:numFmt w:val="bullet"/>
      <w:lvlText w:val=""/>
      <w:lvlJc w:val="left"/>
      <w:pPr>
        <w:ind w:left="3600" w:hanging="360"/>
      </w:pPr>
      <w:rPr>
        <w:rFonts w:ascii="Wingdings" w:hAnsi="Wingdings" w:hint="default"/>
      </w:rPr>
    </w:lvl>
    <w:lvl w:ilvl="3" w:tplc="4420EC9E">
      <w:start w:val="1"/>
      <w:numFmt w:val="bullet"/>
      <w:lvlText w:val=""/>
      <w:lvlJc w:val="left"/>
      <w:pPr>
        <w:ind w:left="4320" w:hanging="360"/>
      </w:pPr>
      <w:rPr>
        <w:rFonts w:ascii="Symbol" w:hAnsi="Symbol" w:hint="default"/>
      </w:rPr>
    </w:lvl>
    <w:lvl w:ilvl="4" w:tplc="00FAB2D2" w:tentative="1">
      <w:start w:val="1"/>
      <w:numFmt w:val="bullet"/>
      <w:lvlText w:val="o"/>
      <w:lvlJc w:val="left"/>
      <w:pPr>
        <w:ind w:left="5040" w:hanging="360"/>
      </w:pPr>
      <w:rPr>
        <w:rFonts w:ascii="Courier New" w:hAnsi="Courier New" w:cs="Courier New" w:hint="default"/>
      </w:rPr>
    </w:lvl>
    <w:lvl w:ilvl="5" w:tplc="C0E22B54" w:tentative="1">
      <w:start w:val="1"/>
      <w:numFmt w:val="bullet"/>
      <w:lvlText w:val=""/>
      <w:lvlJc w:val="left"/>
      <w:pPr>
        <w:ind w:left="5760" w:hanging="360"/>
      </w:pPr>
      <w:rPr>
        <w:rFonts w:ascii="Wingdings" w:hAnsi="Wingdings" w:hint="default"/>
      </w:rPr>
    </w:lvl>
    <w:lvl w:ilvl="6" w:tplc="C2B64150" w:tentative="1">
      <w:start w:val="1"/>
      <w:numFmt w:val="bullet"/>
      <w:lvlText w:val=""/>
      <w:lvlJc w:val="left"/>
      <w:pPr>
        <w:ind w:left="6480" w:hanging="360"/>
      </w:pPr>
      <w:rPr>
        <w:rFonts w:ascii="Symbol" w:hAnsi="Symbol" w:hint="default"/>
      </w:rPr>
    </w:lvl>
    <w:lvl w:ilvl="7" w:tplc="E578C1F0" w:tentative="1">
      <w:start w:val="1"/>
      <w:numFmt w:val="bullet"/>
      <w:lvlText w:val="o"/>
      <w:lvlJc w:val="left"/>
      <w:pPr>
        <w:ind w:left="7200" w:hanging="360"/>
      </w:pPr>
      <w:rPr>
        <w:rFonts w:ascii="Courier New" w:hAnsi="Courier New" w:cs="Courier New" w:hint="default"/>
      </w:rPr>
    </w:lvl>
    <w:lvl w:ilvl="8" w:tplc="A4E448A8" w:tentative="1">
      <w:start w:val="1"/>
      <w:numFmt w:val="bullet"/>
      <w:lvlText w:val=""/>
      <w:lvlJc w:val="left"/>
      <w:pPr>
        <w:ind w:left="7920" w:hanging="360"/>
      </w:pPr>
      <w:rPr>
        <w:rFonts w:ascii="Wingdings" w:hAnsi="Wingdings" w:hint="default"/>
      </w:rPr>
    </w:lvl>
  </w:abstractNum>
  <w:abstractNum w:abstractNumId="3" w15:restartNumberingAfterBreak="0">
    <w:nsid w:val="1A444BBF"/>
    <w:multiLevelType w:val="hybridMultilevel"/>
    <w:tmpl w:val="6A84AB34"/>
    <w:lvl w:ilvl="0" w:tplc="2FF8BE2C">
      <w:start w:val="1"/>
      <w:numFmt w:val="decimal"/>
      <w:pStyle w:val="treb"/>
      <w:lvlText w:val="%1."/>
      <w:lvlJc w:val="left"/>
      <w:pPr>
        <w:ind w:left="720" w:hanging="360"/>
      </w:pPr>
      <w:rPr>
        <w:rFonts w:hint="default"/>
      </w:rPr>
    </w:lvl>
    <w:lvl w:ilvl="1" w:tplc="229884F0" w:tentative="1">
      <w:start w:val="1"/>
      <w:numFmt w:val="lowerLetter"/>
      <w:lvlText w:val="%2."/>
      <w:lvlJc w:val="left"/>
      <w:pPr>
        <w:ind w:left="1440" w:hanging="360"/>
      </w:pPr>
    </w:lvl>
    <w:lvl w:ilvl="2" w:tplc="85C2F11C" w:tentative="1">
      <w:start w:val="1"/>
      <w:numFmt w:val="lowerRoman"/>
      <w:lvlText w:val="%3."/>
      <w:lvlJc w:val="right"/>
      <w:pPr>
        <w:ind w:left="2160" w:hanging="180"/>
      </w:pPr>
    </w:lvl>
    <w:lvl w:ilvl="3" w:tplc="5C60477C" w:tentative="1">
      <w:start w:val="1"/>
      <w:numFmt w:val="decimal"/>
      <w:lvlText w:val="%4."/>
      <w:lvlJc w:val="left"/>
      <w:pPr>
        <w:ind w:left="2880" w:hanging="360"/>
      </w:pPr>
    </w:lvl>
    <w:lvl w:ilvl="4" w:tplc="DBB65040" w:tentative="1">
      <w:start w:val="1"/>
      <w:numFmt w:val="lowerLetter"/>
      <w:lvlText w:val="%5."/>
      <w:lvlJc w:val="left"/>
      <w:pPr>
        <w:ind w:left="3600" w:hanging="360"/>
      </w:pPr>
    </w:lvl>
    <w:lvl w:ilvl="5" w:tplc="10F4C186" w:tentative="1">
      <w:start w:val="1"/>
      <w:numFmt w:val="lowerRoman"/>
      <w:lvlText w:val="%6."/>
      <w:lvlJc w:val="right"/>
      <w:pPr>
        <w:ind w:left="4320" w:hanging="180"/>
      </w:pPr>
    </w:lvl>
    <w:lvl w:ilvl="6" w:tplc="B0C2AF28" w:tentative="1">
      <w:start w:val="1"/>
      <w:numFmt w:val="decimal"/>
      <w:lvlText w:val="%7."/>
      <w:lvlJc w:val="left"/>
      <w:pPr>
        <w:ind w:left="5040" w:hanging="360"/>
      </w:pPr>
    </w:lvl>
    <w:lvl w:ilvl="7" w:tplc="47FCE6AC" w:tentative="1">
      <w:start w:val="1"/>
      <w:numFmt w:val="lowerLetter"/>
      <w:lvlText w:val="%8."/>
      <w:lvlJc w:val="left"/>
      <w:pPr>
        <w:ind w:left="5760" w:hanging="360"/>
      </w:pPr>
    </w:lvl>
    <w:lvl w:ilvl="8" w:tplc="FB6260B6" w:tentative="1">
      <w:start w:val="1"/>
      <w:numFmt w:val="lowerRoman"/>
      <w:lvlText w:val="%9."/>
      <w:lvlJc w:val="right"/>
      <w:pPr>
        <w:ind w:left="6480" w:hanging="180"/>
      </w:pPr>
    </w:lvl>
  </w:abstractNum>
  <w:abstractNum w:abstractNumId="4" w15:restartNumberingAfterBreak="0">
    <w:nsid w:val="1AB707C1"/>
    <w:multiLevelType w:val="hybridMultilevel"/>
    <w:tmpl w:val="1C9CDDDC"/>
    <w:lvl w:ilvl="0" w:tplc="F42AA53A">
      <w:start w:val="1"/>
      <w:numFmt w:val="bullet"/>
      <w:lvlText w:val=""/>
      <w:lvlJc w:val="left"/>
      <w:pPr>
        <w:ind w:left="720" w:hanging="360"/>
      </w:pPr>
      <w:rPr>
        <w:rFonts w:ascii="Symbol" w:hAnsi="Symbol" w:hint="default"/>
      </w:rPr>
    </w:lvl>
    <w:lvl w:ilvl="1" w:tplc="2EC21F34">
      <w:start w:val="1"/>
      <w:numFmt w:val="bullet"/>
      <w:lvlText w:val="o"/>
      <w:lvlJc w:val="left"/>
      <w:pPr>
        <w:ind w:left="1440" w:hanging="360"/>
      </w:pPr>
      <w:rPr>
        <w:rFonts w:ascii="Courier New" w:hAnsi="Courier New" w:cs="Courier New" w:hint="default"/>
      </w:rPr>
    </w:lvl>
    <w:lvl w:ilvl="2" w:tplc="779AEA56" w:tentative="1">
      <w:start w:val="1"/>
      <w:numFmt w:val="bullet"/>
      <w:lvlText w:val=""/>
      <w:lvlJc w:val="left"/>
      <w:pPr>
        <w:ind w:left="2160" w:hanging="360"/>
      </w:pPr>
      <w:rPr>
        <w:rFonts w:ascii="Wingdings" w:hAnsi="Wingdings" w:hint="default"/>
      </w:rPr>
    </w:lvl>
    <w:lvl w:ilvl="3" w:tplc="7446FAAA" w:tentative="1">
      <w:start w:val="1"/>
      <w:numFmt w:val="bullet"/>
      <w:lvlText w:val=""/>
      <w:lvlJc w:val="left"/>
      <w:pPr>
        <w:ind w:left="2880" w:hanging="360"/>
      </w:pPr>
      <w:rPr>
        <w:rFonts w:ascii="Symbol" w:hAnsi="Symbol" w:hint="default"/>
      </w:rPr>
    </w:lvl>
    <w:lvl w:ilvl="4" w:tplc="E6F86422" w:tentative="1">
      <w:start w:val="1"/>
      <w:numFmt w:val="bullet"/>
      <w:lvlText w:val="o"/>
      <w:lvlJc w:val="left"/>
      <w:pPr>
        <w:ind w:left="3600" w:hanging="360"/>
      </w:pPr>
      <w:rPr>
        <w:rFonts w:ascii="Courier New" w:hAnsi="Courier New" w:cs="Courier New" w:hint="default"/>
      </w:rPr>
    </w:lvl>
    <w:lvl w:ilvl="5" w:tplc="DC4A9406" w:tentative="1">
      <w:start w:val="1"/>
      <w:numFmt w:val="bullet"/>
      <w:lvlText w:val=""/>
      <w:lvlJc w:val="left"/>
      <w:pPr>
        <w:ind w:left="4320" w:hanging="360"/>
      </w:pPr>
      <w:rPr>
        <w:rFonts w:ascii="Wingdings" w:hAnsi="Wingdings" w:hint="default"/>
      </w:rPr>
    </w:lvl>
    <w:lvl w:ilvl="6" w:tplc="2EA6EF14" w:tentative="1">
      <w:start w:val="1"/>
      <w:numFmt w:val="bullet"/>
      <w:lvlText w:val=""/>
      <w:lvlJc w:val="left"/>
      <w:pPr>
        <w:ind w:left="5040" w:hanging="360"/>
      </w:pPr>
      <w:rPr>
        <w:rFonts w:ascii="Symbol" w:hAnsi="Symbol" w:hint="default"/>
      </w:rPr>
    </w:lvl>
    <w:lvl w:ilvl="7" w:tplc="981C1630" w:tentative="1">
      <w:start w:val="1"/>
      <w:numFmt w:val="bullet"/>
      <w:lvlText w:val="o"/>
      <w:lvlJc w:val="left"/>
      <w:pPr>
        <w:ind w:left="5760" w:hanging="360"/>
      </w:pPr>
      <w:rPr>
        <w:rFonts w:ascii="Courier New" w:hAnsi="Courier New" w:cs="Courier New" w:hint="default"/>
      </w:rPr>
    </w:lvl>
    <w:lvl w:ilvl="8" w:tplc="955094AA" w:tentative="1">
      <w:start w:val="1"/>
      <w:numFmt w:val="bullet"/>
      <w:lvlText w:val=""/>
      <w:lvlJc w:val="left"/>
      <w:pPr>
        <w:ind w:left="6480" w:hanging="360"/>
      </w:pPr>
      <w:rPr>
        <w:rFonts w:ascii="Wingdings" w:hAnsi="Wingdings" w:hint="default"/>
      </w:rPr>
    </w:lvl>
  </w:abstractNum>
  <w:abstractNum w:abstractNumId="5" w15:restartNumberingAfterBreak="0">
    <w:nsid w:val="1E4D2CDD"/>
    <w:multiLevelType w:val="hybridMultilevel"/>
    <w:tmpl w:val="CA1AD732"/>
    <w:lvl w:ilvl="0" w:tplc="5B7639DA">
      <w:start w:val="1"/>
      <w:numFmt w:val="bullet"/>
      <w:lvlText w:val=""/>
      <w:lvlJc w:val="left"/>
      <w:pPr>
        <w:ind w:left="720" w:hanging="360"/>
      </w:pPr>
      <w:rPr>
        <w:rFonts w:ascii="Symbol" w:hAnsi="Symbol" w:hint="default"/>
      </w:rPr>
    </w:lvl>
    <w:lvl w:ilvl="1" w:tplc="D220AAC2" w:tentative="1">
      <w:start w:val="1"/>
      <w:numFmt w:val="bullet"/>
      <w:lvlText w:val="o"/>
      <w:lvlJc w:val="left"/>
      <w:pPr>
        <w:ind w:left="1440" w:hanging="360"/>
      </w:pPr>
      <w:rPr>
        <w:rFonts w:ascii="Courier New" w:hAnsi="Courier New" w:cs="Courier New" w:hint="default"/>
      </w:rPr>
    </w:lvl>
    <w:lvl w:ilvl="2" w:tplc="781E9166" w:tentative="1">
      <w:start w:val="1"/>
      <w:numFmt w:val="bullet"/>
      <w:lvlText w:val=""/>
      <w:lvlJc w:val="left"/>
      <w:pPr>
        <w:ind w:left="2160" w:hanging="360"/>
      </w:pPr>
      <w:rPr>
        <w:rFonts w:ascii="Wingdings" w:hAnsi="Wingdings" w:hint="default"/>
      </w:rPr>
    </w:lvl>
    <w:lvl w:ilvl="3" w:tplc="8D7E90DE" w:tentative="1">
      <w:start w:val="1"/>
      <w:numFmt w:val="bullet"/>
      <w:lvlText w:val=""/>
      <w:lvlJc w:val="left"/>
      <w:pPr>
        <w:ind w:left="2880" w:hanging="360"/>
      </w:pPr>
      <w:rPr>
        <w:rFonts w:ascii="Symbol" w:hAnsi="Symbol" w:hint="default"/>
      </w:rPr>
    </w:lvl>
    <w:lvl w:ilvl="4" w:tplc="20E07E52" w:tentative="1">
      <w:start w:val="1"/>
      <w:numFmt w:val="bullet"/>
      <w:lvlText w:val="o"/>
      <w:lvlJc w:val="left"/>
      <w:pPr>
        <w:ind w:left="3600" w:hanging="360"/>
      </w:pPr>
      <w:rPr>
        <w:rFonts w:ascii="Courier New" w:hAnsi="Courier New" w:cs="Courier New" w:hint="default"/>
      </w:rPr>
    </w:lvl>
    <w:lvl w:ilvl="5" w:tplc="740A1460" w:tentative="1">
      <w:start w:val="1"/>
      <w:numFmt w:val="bullet"/>
      <w:lvlText w:val=""/>
      <w:lvlJc w:val="left"/>
      <w:pPr>
        <w:ind w:left="4320" w:hanging="360"/>
      </w:pPr>
      <w:rPr>
        <w:rFonts w:ascii="Wingdings" w:hAnsi="Wingdings" w:hint="default"/>
      </w:rPr>
    </w:lvl>
    <w:lvl w:ilvl="6" w:tplc="009A5C80" w:tentative="1">
      <w:start w:val="1"/>
      <w:numFmt w:val="bullet"/>
      <w:lvlText w:val=""/>
      <w:lvlJc w:val="left"/>
      <w:pPr>
        <w:ind w:left="5040" w:hanging="360"/>
      </w:pPr>
      <w:rPr>
        <w:rFonts w:ascii="Symbol" w:hAnsi="Symbol" w:hint="default"/>
      </w:rPr>
    </w:lvl>
    <w:lvl w:ilvl="7" w:tplc="1FEE4C04" w:tentative="1">
      <w:start w:val="1"/>
      <w:numFmt w:val="bullet"/>
      <w:lvlText w:val="o"/>
      <w:lvlJc w:val="left"/>
      <w:pPr>
        <w:ind w:left="5760" w:hanging="360"/>
      </w:pPr>
      <w:rPr>
        <w:rFonts w:ascii="Courier New" w:hAnsi="Courier New" w:cs="Courier New" w:hint="default"/>
      </w:rPr>
    </w:lvl>
    <w:lvl w:ilvl="8" w:tplc="C20CFFE6" w:tentative="1">
      <w:start w:val="1"/>
      <w:numFmt w:val="bullet"/>
      <w:lvlText w:val=""/>
      <w:lvlJc w:val="left"/>
      <w:pPr>
        <w:ind w:left="6480" w:hanging="360"/>
      </w:pPr>
      <w:rPr>
        <w:rFonts w:ascii="Wingdings" w:hAnsi="Wingdings" w:hint="default"/>
      </w:rPr>
    </w:lvl>
  </w:abstractNum>
  <w:abstractNum w:abstractNumId="6" w15:restartNumberingAfterBreak="0">
    <w:nsid w:val="25F43190"/>
    <w:multiLevelType w:val="hybridMultilevel"/>
    <w:tmpl w:val="3834B46C"/>
    <w:lvl w:ilvl="0" w:tplc="FC06F5EE">
      <w:start w:val="1"/>
      <w:numFmt w:val="bullet"/>
      <w:lvlText w:val=""/>
      <w:lvlJc w:val="left"/>
      <w:pPr>
        <w:ind w:left="720" w:hanging="360"/>
      </w:pPr>
      <w:rPr>
        <w:rFonts w:ascii="Symbol" w:hAnsi="Symbol" w:hint="default"/>
      </w:rPr>
    </w:lvl>
    <w:lvl w:ilvl="1" w:tplc="7180BB12" w:tentative="1">
      <w:start w:val="1"/>
      <w:numFmt w:val="bullet"/>
      <w:lvlText w:val="o"/>
      <w:lvlJc w:val="left"/>
      <w:pPr>
        <w:ind w:left="1440" w:hanging="360"/>
      </w:pPr>
      <w:rPr>
        <w:rFonts w:ascii="Courier New" w:hAnsi="Courier New" w:cs="Courier New" w:hint="default"/>
      </w:rPr>
    </w:lvl>
    <w:lvl w:ilvl="2" w:tplc="2242BAFC" w:tentative="1">
      <w:start w:val="1"/>
      <w:numFmt w:val="bullet"/>
      <w:lvlText w:val=""/>
      <w:lvlJc w:val="left"/>
      <w:pPr>
        <w:ind w:left="2160" w:hanging="360"/>
      </w:pPr>
      <w:rPr>
        <w:rFonts w:ascii="Wingdings" w:hAnsi="Wingdings" w:hint="default"/>
      </w:rPr>
    </w:lvl>
    <w:lvl w:ilvl="3" w:tplc="D19249AC" w:tentative="1">
      <w:start w:val="1"/>
      <w:numFmt w:val="bullet"/>
      <w:lvlText w:val=""/>
      <w:lvlJc w:val="left"/>
      <w:pPr>
        <w:ind w:left="2880" w:hanging="360"/>
      </w:pPr>
      <w:rPr>
        <w:rFonts w:ascii="Symbol" w:hAnsi="Symbol" w:hint="default"/>
      </w:rPr>
    </w:lvl>
    <w:lvl w:ilvl="4" w:tplc="CF7EAAEA" w:tentative="1">
      <w:start w:val="1"/>
      <w:numFmt w:val="bullet"/>
      <w:lvlText w:val="o"/>
      <w:lvlJc w:val="left"/>
      <w:pPr>
        <w:ind w:left="3600" w:hanging="360"/>
      </w:pPr>
      <w:rPr>
        <w:rFonts w:ascii="Courier New" w:hAnsi="Courier New" w:cs="Courier New" w:hint="default"/>
      </w:rPr>
    </w:lvl>
    <w:lvl w:ilvl="5" w:tplc="65529A9A" w:tentative="1">
      <w:start w:val="1"/>
      <w:numFmt w:val="bullet"/>
      <w:lvlText w:val=""/>
      <w:lvlJc w:val="left"/>
      <w:pPr>
        <w:ind w:left="4320" w:hanging="360"/>
      </w:pPr>
      <w:rPr>
        <w:rFonts w:ascii="Wingdings" w:hAnsi="Wingdings" w:hint="default"/>
      </w:rPr>
    </w:lvl>
    <w:lvl w:ilvl="6" w:tplc="AA4A571E" w:tentative="1">
      <w:start w:val="1"/>
      <w:numFmt w:val="bullet"/>
      <w:lvlText w:val=""/>
      <w:lvlJc w:val="left"/>
      <w:pPr>
        <w:ind w:left="5040" w:hanging="360"/>
      </w:pPr>
      <w:rPr>
        <w:rFonts w:ascii="Symbol" w:hAnsi="Symbol" w:hint="default"/>
      </w:rPr>
    </w:lvl>
    <w:lvl w:ilvl="7" w:tplc="6A7C925C" w:tentative="1">
      <w:start w:val="1"/>
      <w:numFmt w:val="bullet"/>
      <w:lvlText w:val="o"/>
      <w:lvlJc w:val="left"/>
      <w:pPr>
        <w:ind w:left="5760" w:hanging="360"/>
      </w:pPr>
      <w:rPr>
        <w:rFonts w:ascii="Courier New" w:hAnsi="Courier New" w:cs="Courier New" w:hint="default"/>
      </w:rPr>
    </w:lvl>
    <w:lvl w:ilvl="8" w:tplc="80F24D2A" w:tentative="1">
      <w:start w:val="1"/>
      <w:numFmt w:val="bullet"/>
      <w:lvlText w:val=""/>
      <w:lvlJc w:val="left"/>
      <w:pPr>
        <w:ind w:left="6480" w:hanging="360"/>
      </w:pPr>
      <w:rPr>
        <w:rFonts w:ascii="Wingdings" w:hAnsi="Wingdings" w:hint="default"/>
      </w:rPr>
    </w:lvl>
  </w:abstractNum>
  <w:abstractNum w:abstractNumId="7" w15:restartNumberingAfterBreak="0">
    <w:nsid w:val="26B650CD"/>
    <w:multiLevelType w:val="hybridMultilevel"/>
    <w:tmpl w:val="3C144736"/>
    <w:lvl w:ilvl="0" w:tplc="D5443EF4">
      <w:start w:val="1"/>
      <w:numFmt w:val="decimal"/>
      <w:lvlText w:val="%1."/>
      <w:lvlJc w:val="left"/>
      <w:pPr>
        <w:ind w:left="720" w:hanging="360"/>
      </w:pPr>
      <w:rPr>
        <w:rFonts w:ascii="Arial" w:hAnsi="Arial" w:hint="default"/>
        <w:sz w:val="20"/>
      </w:rPr>
    </w:lvl>
    <w:lvl w:ilvl="1" w:tplc="951CC8F8" w:tentative="1">
      <w:start w:val="1"/>
      <w:numFmt w:val="lowerLetter"/>
      <w:lvlText w:val="%2."/>
      <w:lvlJc w:val="left"/>
      <w:pPr>
        <w:ind w:left="1440" w:hanging="360"/>
      </w:pPr>
    </w:lvl>
    <w:lvl w:ilvl="2" w:tplc="4E08F8B2" w:tentative="1">
      <w:start w:val="1"/>
      <w:numFmt w:val="lowerRoman"/>
      <w:lvlText w:val="%3."/>
      <w:lvlJc w:val="right"/>
      <w:pPr>
        <w:ind w:left="2160" w:hanging="180"/>
      </w:pPr>
    </w:lvl>
    <w:lvl w:ilvl="3" w:tplc="48DC8490" w:tentative="1">
      <w:start w:val="1"/>
      <w:numFmt w:val="decimal"/>
      <w:lvlText w:val="%4."/>
      <w:lvlJc w:val="left"/>
      <w:pPr>
        <w:ind w:left="2880" w:hanging="360"/>
      </w:pPr>
    </w:lvl>
    <w:lvl w:ilvl="4" w:tplc="EFAEA298" w:tentative="1">
      <w:start w:val="1"/>
      <w:numFmt w:val="lowerLetter"/>
      <w:lvlText w:val="%5."/>
      <w:lvlJc w:val="left"/>
      <w:pPr>
        <w:ind w:left="3600" w:hanging="360"/>
      </w:pPr>
    </w:lvl>
    <w:lvl w:ilvl="5" w:tplc="2AFC8E00" w:tentative="1">
      <w:start w:val="1"/>
      <w:numFmt w:val="lowerRoman"/>
      <w:lvlText w:val="%6."/>
      <w:lvlJc w:val="right"/>
      <w:pPr>
        <w:ind w:left="4320" w:hanging="180"/>
      </w:pPr>
    </w:lvl>
    <w:lvl w:ilvl="6" w:tplc="31DC2002" w:tentative="1">
      <w:start w:val="1"/>
      <w:numFmt w:val="decimal"/>
      <w:lvlText w:val="%7."/>
      <w:lvlJc w:val="left"/>
      <w:pPr>
        <w:ind w:left="5040" w:hanging="360"/>
      </w:pPr>
    </w:lvl>
    <w:lvl w:ilvl="7" w:tplc="57E6A356" w:tentative="1">
      <w:start w:val="1"/>
      <w:numFmt w:val="lowerLetter"/>
      <w:lvlText w:val="%8."/>
      <w:lvlJc w:val="left"/>
      <w:pPr>
        <w:ind w:left="5760" w:hanging="360"/>
      </w:pPr>
    </w:lvl>
    <w:lvl w:ilvl="8" w:tplc="CDE69C78" w:tentative="1">
      <w:start w:val="1"/>
      <w:numFmt w:val="lowerRoman"/>
      <w:lvlText w:val="%9."/>
      <w:lvlJc w:val="right"/>
      <w:pPr>
        <w:ind w:left="6480" w:hanging="180"/>
      </w:pPr>
    </w:lvl>
  </w:abstractNum>
  <w:abstractNum w:abstractNumId="8" w15:restartNumberingAfterBreak="0">
    <w:nsid w:val="30340154"/>
    <w:multiLevelType w:val="hybridMultilevel"/>
    <w:tmpl w:val="7D7C7980"/>
    <w:lvl w:ilvl="0" w:tplc="0360C894">
      <w:start w:val="1"/>
      <w:numFmt w:val="bullet"/>
      <w:lvlText w:val=""/>
      <w:lvlJc w:val="left"/>
      <w:pPr>
        <w:ind w:left="720" w:hanging="360"/>
      </w:pPr>
      <w:rPr>
        <w:rFonts w:ascii="Symbol" w:hAnsi="Symbol" w:hint="default"/>
      </w:rPr>
    </w:lvl>
    <w:lvl w:ilvl="1" w:tplc="5EEE6364" w:tentative="1">
      <w:start w:val="1"/>
      <w:numFmt w:val="bullet"/>
      <w:lvlText w:val="o"/>
      <w:lvlJc w:val="left"/>
      <w:pPr>
        <w:ind w:left="1440" w:hanging="360"/>
      </w:pPr>
      <w:rPr>
        <w:rFonts w:ascii="Courier New" w:hAnsi="Courier New" w:cs="Courier New" w:hint="default"/>
      </w:rPr>
    </w:lvl>
    <w:lvl w:ilvl="2" w:tplc="561872FA" w:tentative="1">
      <w:start w:val="1"/>
      <w:numFmt w:val="bullet"/>
      <w:lvlText w:val=""/>
      <w:lvlJc w:val="left"/>
      <w:pPr>
        <w:ind w:left="2160" w:hanging="360"/>
      </w:pPr>
      <w:rPr>
        <w:rFonts w:ascii="Wingdings" w:hAnsi="Wingdings" w:hint="default"/>
      </w:rPr>
    </w:lvl>
    <w:lvl w:ilvl="3" w:tplc="84343194" w:tentative="1">
      <w:start w:val="1"/>
      <w:numFmt w:val="bullet"/>
      <w:lvlText w:val=""/>
      <w:lvlJc w:val="left"/>
      <w:pPr>
        <w:ind w:left="2880" w:hanging="360"/>
      </w:pPr>
      <w:rPr>
        <w:rFonts w:ascii="Symbol" w:hAnsi="Symbol" w:hint="default"/>
      </w:rPr>
    </w:lvl>
    <w:lvl w:ilvl="4" w:tplc="4FBE7B06" w:tentative="1">
      <w:start w:val="1"/>
      <w:numFmt w:val="bullet"/>
      <w:lvlText w:val="o"/>
      <w:lvlJc w:val="left"/>
      <w:pPr>
        <w:ind w:left="3600" w:hanging="360"/>
      </w:pPr>
      <w:rPr>
        <w:rFonts w:ascii="Courier New" w:hAnsi="Courier New" w:cs="Courier New" w:hint="default"/>
      </w:rPr>
    </w:lvl>
    <w:lvl w:ilvl="5" w:tplc="1B64197E" w:tentative="1">
      <w:start w:val="1"/>
      <w:numFmt w:val="bullet"/>
      <w:lvlText w:val=""/>
      <w:lvlJc w:val="left"/>
      <w:pPr>
        <w:ind w:left="4320" w:hanging="360"/>
      </w:pPr>
      <w:rPr>
        <w:rFonts w:ascii="Wingdings" w:hAnsi="Wingdings" w:hint="default"/>
      </w:rPr>
    </w:lvl>
    <w:lvl w:ilvl="6" w:tplc="5A2EF552" w:tentative="1">
      <w:start w:val="1"/>
      <w:numFmt w:val="bullet"/>
      <w:lvlText w:val=""/>
      <w:lvlJc w:val="left"/>
      <w:pPr>
        <w:ind w:left="5040" w:hanging="360"/>
      </w:pPr>
      <w:rPr>
        <w:rFonts w:ascii="Symbol" w:hAnsi="Symbol" w:hint="default"/>
      </w:rPr>
    </w:lvl>
    <w:lvl w:ilvl="7" w:tplc="E30E558E" w:tentative="1">
      <w:start w:val="1"/>
      <w:numFmt w:val="bullet"/>
      <w:lvlText w:val="o"/>
      <w:lvlJc w:val="left"/>
      <w:pPr>
        <w:ind w:left="5760" w:hanging="360"/>
      </w:pPr>
      <w:rPr>
        <w:rFonts w:ascii="Courier New" w:hAnsi="Courier New" w:cs="Courier New" w:hint="default"/>
      </w:rPr>
    </w:lvl>
    <w:lvl w:ilvl="8" w:tplc="8F22A3E4" w:tentative="1">
      <w:start w:val="1"/>
      <w:numFmt w:val="bullet"/>
      <w:lvlText w:val=""/>
      <w:lvlJc w:val="left"/>
      <w:pPr>
        <w:ind w:left="6480" w:hanging="360"/>
      </w:pPr>
      <w:rPr>
        <w:rFonts w:ascii="Wingdings" w:hAnsi="Wingdings" w:hint="default"/>
      </w:rPr>
    </w:lvl>
  </w:abstractNum>
  <w:abstractNum w:abstractNumId="9" w15:restartNumberingAfterBreak="0">
    <w:nsid w:val="331E5458"/>
    <w:multiLevelType w:val="hybridMultilevel"/>
    <w:tmpl w:val="B5B4520E"/>
    <w:lvl w:ilvl="0" w:tplc="BC5CA952">
      <w:start w:val="1"/>
      <w:numFmt w:val="decimal"/>
      <w:lvlText w:val="%1."/>
      <w:lvlJc w:val="left"/>
      <w:pPr>
        <w:ind w:left="720" w:hanging="360"/>
      </w:pPr>
      <w:rPr>
        <w:rFonts w:ascii="Arial" w:hAnsi="Arial" w:hint="default"/>
        <w:sz w:val="20"/>
      </w:rPr>
    </w:lvl>
    <w:lvl w:ilvl="1" w:tplc="5F744F7A" w:tentative="1">
      <w:start w:val="1"/>
      <w:numFmt w:val="lowerLetter"/>
      <w:lvlText w:val="%2."/>
      <w:lvlJc w:val="left"/>
      <w:pPr>
        <w:ind w:left="1440" w:hanging="360"/>
      </w:pPr>
    </w:lvl>
    <w:lvl w:ilvl="2" w:tplc="93189878" w:tentative="1">
      <w:start w:val="1"/>
      <w:numFmt w:val="lowerRoman"/>
      <w:lvlText w:val="%3."/>
      <w:lvlJc w:val="right"/>
      <w:pPr>
        <w:ind w:left="2160" w:hanging="180"/>
      </w:pPr>
    </w:lvl>
    <w:lvl w:ilvl="3" w:tplc="B66CEC5A" w:tentative="1">
      <w:start w:val="1"/>
      <w:numFmt w:val="decimal"/>
      <w:lvlText w:val="%4."/>
      <w:lvlJc w:val="left"/>
      <w:pPr>
        <w:ind w:left="2880" w:hanging="360"/>
      </w:pPr>
    </w:lvl>
    <w:lvl w:ilvl="4" w:tplc="BB8A411E" w:tentative="1">
      <w:start w:val="1"/>
      <w:numFmt w:val="lowerLetter"/>
      <w:lvlText w:val="%5."/>
      <w:lvlJc w:val="left"/>
      <w:pPr>
        <w:ind w:left="3600" w:hanging="360"/>
      </w:pPr>
    </w:lvl>
    <w:lvl w:ilvl="5" w:tplc="AD3A2E60" w:tentative="1">
      <w:start w:val="1"/>
      <w:numFmt w:val="lowerRoman"/>
      <w:lvlText w:val="%6."/>
      <w:lvlJc w:val="right"/>
      <w:pPr>
        <w:ind w:left="4320" w:hanging="180"/>
      </w:pPr>
    </w:lvl>
    <w:lvl w:ilvl="6" w:tplc="66DED082" w:tentative="1">
      <w:start w:val="1"/>
      <w:numFmt w:val="decimal"/>
      <w:lvlText w:val="%7."/>
      <w:lvlJc w:val="left"/>
      <w:pPr>
        <w:ind w:left="5040" w:hanging="360"/>
      </w:pPr>
    </w:lvl>
    <w:lvl w:ilvl="7" w:tplc="A38265EC" w:tentative="1">
      <w:start w:val="1"/>
      <w:numFmt w:val="lowerLetter"/>
      <w:lvlText w:val="%8."/>
      <w:lvlJc w:val="left"/>
      <w:pPr>
        <w:ind w:left="5760" w:hanging="360"/>
      </w:pPr>
    </w:lvl>
    <w:lvl w:ilvl="8" w:tplc="AAD09448" w:tentative="1">
      <w:start w:val="1"/>
      <w:numFmt w:val="lowerRoman"/>
      <w:lvlText w:val="%9."/>
      <w:lvlJc w:val="right"/>
      <w:pPr>
        <w:ind w:left="6480" w:hanging="180"/>
      </w:pPr>
    </w:lvl>
  </w:abstractNum>
  <w:abstractNum w:abstractNumId="10" w15:restartNumberingAfterBreak="0">
    <w:nsid w:val="346D013E"/>
    <w:multiLevelType w:val="hybridMultilevel"/>
    <w:tmpl w:val="E7E25118"/>
    <w:lvl w:ilvl="0" w:tplc="498A91A6">
      <w:start w:val="1"/>
      <w:numFmt w:val="bullet"/>
      <w:lvlText w:val=""/>
      <w:lvlJc w:val="left"/>
      <w:pPr>
        <w:ind w:left="720" w:hanging="360"/>
      </w:pPr>
      <w:rPr>
        <w:rFonts w:ascii="Symbol" w:hAnsi="Symbol" w:hint="default"/>
      </w:rPr>
    </w:lvl>
    <w:lvl w:ilvl="1" w:tplc="F0C8D33A" w:tentative="1">
      <w:start w:val="1"/>
      <w:numFmt w:val="bullet"/>
      <w:lvlText w:val="o"/>
      <w:lvlJc w:val="left"/>
      <w:pPr>
        <w:ind w:left="1440" w:hanging="360"/>
      </w:pPr>
      <w:rPr>
        <w:rFonts w:ascii="Courier New" w:hAnsi="Courier New" w:cs="Courier New" w:hint="default"/>
      </w:rPr>
    </w:lvl>
    <w:lvl w:ilvl="2" w:tplc="0416FBA4" w:tentative="1">
      <w:start w:val="1"/>
      <w:numFmt w:val="bullet"/>
      <w:lvlText w:val=""/>
      <w:lvlJc w:val="left"/>
      <w:pPr>
        <w:ind w:left="2160" w:hanging="360"/>
      </w:pPr>
      <w:rPr>
        <w:rFonts w:ascii="Wingdings" w:hAnsi="Wingdings" w:hint="default"/>
      </w:rPr>
    </w:lvl>
    <w:lvl w:ilvl="3" w:tplc="820CAB00" w:tentative="1">
      <w:start w:val="1"/>
      <w:numFmt w:val="bullet"/>
      <w:lvlText w:val=""/>
      <w:lvlJc w:val="left"/>
      <w:pPr>
        <w:ind w:left="2880" w:hanging="360"/>
      </w:pPr>
      <w:rPr>
        <w:rFonts w:ascii="Symbol" w:hAnsi="Symbol" w:hint="default"/>
      </w:rPr>
    </w:lvl>
    <w:lvl w:ilvl="4" w:tplc="CB44A04E" w:tentative="1">
      <w:start w:val="1"/>
      <w:numFmt w:val="bullet"/>
      <w:lvlText w:val="o"/>
      <w:lvlJc w:val="left"/>
      <w:pPr>
        <w:ind w:left="3600" w:hanging="360"/>
      </w:pPr>
      <w:rPr>
        <w:rFonts w:ascii="Courier New" w:hAnsi="Courier New" w:cs="Courier New" w:hint="default"/>
      </w:rPr>
    </w:lvl>
    <w:lvl w:ilvl="5" w:tplc="7D92BF86" w:tentative="1">
      <w:start w:val="1"/>
      <w:numFmt w:val="bullet"/>
      <w:lvlText w:val=""/>
      <w:lvlJc w:val="left"/>
      <w:pPr>
        <w:ind w:left="4320" w:hanging="360"/>
      </w:pPr>
      <w:rPr>
        <w:rFonts w:ascii="Wingdings" w:hAnsi="Wingdings" w:hint="default"/>
      </w:rPr>
    </w:lvl>
    <w:lvl w:ilvl="6" w:tplc="293EB8E4" w:tentative="1">
      <w:start w:val="1"/>
      <w:numFmt w:val="bullet"/>
      <w:lvlText w:val=""/>
      <w:lvlJc w:val="left"/>
      <w:pPr>
        <w:ind w:left="5040" w:hanging="360"/>
      </w:pPr>
      <w:rPr>
        <w:rFonts w:ascii="Symbol" w:hAnsi="Symbol" w:hint="default"/>
      </w:rPr>
    </w:lvl>
    <w:lvl w:ilvl="7" w:tplc="BC2A1A46" w:tentative="1">
      <w:start w:val="1"/>
      <w:numFmt w:val="bullet"/>
      <w:lvlText w:val="o"/>
      <w:lvlJc w:val="left"/>
      <w:pPr>
        <w:ind w:left="5760" w:hanging="360"/>
      </w:pPr>
      <w:rPr>
        <w:rFonts w:ascii="Courier New" w:hAnsi="Courier New" w:cs="Courier New" w:hint="default"/>
      </w:rPr>
    </w:lvl>
    <w:lvl w:ilvl="8" w:tplc="37D08524" w:tentative="1">
      <w:start w:val="1"/>
      <w:numFmt w:val="bullet"/>
      <w:lvlText w:val=""/>
      <w:lvlJc w:val="left"/>
      <w:pPr>
        <w:ind w:left="6480" w:hanging="360"/>
      </w:pPr>
      <w:rPr>
        <w:rFonts w:ascii="Wingdings" w:hAnsi="Wingdings" w:hint="default"/>
      </w:rPr>
    </w:lvl>
  </w:abstractNum>
  <w:abstractNum w:abstractNumId="11" w15:restartNumberingAfterBreak="0">
    <w:nsid w:val="4B52568C"/>
    <w:multiLevelType w:val="hybridMultilevel"/>
    <w:tmpl w:val="DE26DA44"/>
    <w:lvl w:ilvl="0" w:tplc="C65E86D2">
      <w:start w:val="1"/>
      <w:numFmt w:val="bullet"/>
      <w:lvlText w:val=""/>
      <w:lvlJc w:val="left"/>
      <w:pPr>
        <w:ind w:left="720" w:hanging="360"/>
      </w:pPr>
      <w:rPr>
        <w:rFonts w:ascii="Symbol" w:hAnsi="Symbol" w:hint="default"/>
      </w:rPr>
    </w:lvl>
    <w:lvl w:ilvl="1" w:tplc="971A34D6" w:tentative="1">
      <w:start w:val="1"/>
      <w:numFmt w:val="bullet"/>
      <w:lvlText w:val="o"/>
      <w:lvlJc w:val="left"/>
      <w:pPr>
        <w:ind w:left="1440" w:hanging="360"/>
      </w:pPr>
      <w:rPr>
        <w:rFonts w:ascii="Courier New" w:hAnsi="Courier New" w:cs="Courier New" w:hint="default"/>
      </w:rPr>
    </w:lvl>
    <w:lvl w:ilvl="2" w:tplc="7728D3F8" w:tentative="1">
      <w:start w:val="1"/>
      <w:numFmt w:val="bullet"/>
      <w:lvlText w:val=""/>
      <w:lvlJc w:val="left"/>
      <w:pPr>
        <w:ind w:left="2160" w:hanging="360"/>
      </w:pPr>
      <w:rPr>
        <w:rFonts w:ascii="Wingdings" w:hAnsi="Wingdings" w:hint="default"/>
      </w:rPr>
    </w:lvl>
    <w:lvl w:ilvl="3" w:tplc="5E544E48" w:tentative="1">
      <w:start w:val="1"/>
      <w:numFmt w:val="bullet"/>
      <w:lvlText w:val=""/>
      <w:lvlJc w:val="left"/>
      <w:pPr>
        <w:ind w:left="2880" w:hanging="360"/>
      </w:pPr>
      <w:rPr>
        <w:rFonts w:ascii="Symbol" w:hAnsi="Symbol" w:hint="default"/>
      </w:rPr>
    </w:lvl>
    <w:lvl w:ilvl="4" w:tplc="88209AAA" w:tentative="1">
      <w:start w:val="1"/>
      <w:numFmt w:val="bullet"/>
      <w:lvlText w:val="o"/>
      <w:lvlJc w:val="left"/>
      <w:pPr>
        <w:ind w:left="3600" w:hanging="360"/>
      </w:pPr>
      <w:rPr>
        <w:rFonts w:ascii="Courier New" w:hAnsi="Courier New" w:cs="Courier New" w:hint="default"/>
      </w:rPr>
    </w:lvl>
    <w:lvl w:ilvl="5" w:tplc="0A1AEE1E" w:tentative="1">
      <w:start w:val="1"/>
      <w:numFmt w:val="bullet"/>
      <w:lvlText w:val=""/>
      <w:lvlJc w:val="left"/>
      <w:pPr>
        <w:ind w:left="4320" w:hanging="360"/>
      </w:pPr>
      <w:rPr>
        <w:rFonts w:ascii="Wingdings" w:hAnsi="Wingdings" w:hint="default"/>
      </w:rPr>
    </w:lvl>
    <w:lvl w:ilvl="6" w:tplc="864451F0" w:tentative="1">
      <w:start w:val="1"/>
      <w:numFmt w:val="bullet"/>
      <w:lvlText w:val=""/>
      <w:lvlJc w:val="left"/>
      <w:pPr>
        <w:ind w:left="5040" w:hanging="360"/>
      </w:pPr>
      <w:rPr>
        <w:rFonts w:ascii="Symbol" w:hAnsi="Symbol" w:hint="default"/>
      </w:rPr>
    </w:lvl>
    <w:lvl w:ilvl="7" w:tplc="C35AEBA8" w:tentative="1">
      <w:start w:val="1"/>
      <w:numFmt w:val="bullet"/>
      <w:lvlText w:val="o"/>
      <w:lvlJc w:val="left"/>
      <w:pPr>
        <w:ind w:left="5760" w:hanging="360"/>
      </w:pPr>
      <w:rPr>
        <w:rFonts w:ascii="Courier New" w:hAnsi="Courier New" w:cs="Courier New" w:hint="default"/>
      </w:rPr>
    </w:lvl>
    <w:lvl w:ilvl="8" w:tplc="44EEE930" w:tentative="1">
      <w:start w:val="1"/>
      <w:numFmt w:val="bullet"/>
      <w:lvlText w:val=""/>
      <w:lvlJc w:val="left"/>
      <w:pPr>
        <w:ind w:left="6480" w:hanging="360"/>
      </w:pPr>
      <w:rPr>
        <w:rFonts w:ascii="Wingdings" w:hAnsi="Wingdings" w:hint="default"/>
      </w:rPr>
    </w:lvl>
  </w:abstractNum>
  <w:abstractNum w:abstractNumId="12" w15:restartNumberingAfterBreak="0">
    <w:nsid w:val="5C543E73"/>
    <w:multiLevelType w:val="hybridMultilevel"/>
    <w:tmpl w:val="1564DCAE"/>
    <w:lvl w:ilvl="0" w:tplc="4FACE0DC">
      <w:start w:val="1"/>
      <w:numFmt w:val="bullet"/>
      <w:lvlText w:val=""/>
      <w:lvlJc w:val="left"/>
      <w:pPr>
        <w:ind w:left="720" w:hanging="360"/>
      </w:pPr>
      <w:rPr>
        <w:rFonts w:ascii="Symbol" w:hAnsi="Symbol" w:hint="default"/>
      </w:rPr>
    </w:lvl>
    <w:lvl w:ilvl="1" w:tplc="EC1CB58E" w:tentative="1">
      <w:start w:val="1"/>
      <w:numFmt w:val="bullet"/>
      <w:lvlText w:val="o"/>
      <w:lvlJc w:val="left"/>
      <w:pPr>
        <w:ind w:left="1440" w:hanging="360"/>
      </w:pPr>
      <w:rPr>
        <w:rFonts w:ascii="Courier New" w:hAnsi="Courier New" w:cs="Courier New" w:hint="default"/>
      </w:rPr>
    </w:lvl>
    <w:lvl w:ilvl="2" w:tplc="8FDA2EB2" w:tentative="1">
      <w:start w:val="1"/>
      <w:numFmt w:val="bullet"/>
      <w:lvlText w:val=""/>
      <w:lvlJc w:val="left"/>
      <w:pPr>
        <w:ind w:left="2160" w:hanging="360"/>
      </w:pPr>
      <w:rPr>
        <w:rFonts w:ascii="Wingdings" w:hAnsi="Wingdings" w:hint="default"/>
      </w:rPr>
    </w:lvl>
    <w:lvl w:ilvl="3" w:tplc="CF88184C" w:tentative="1">
      <w:start w:val="1"/>
      <w:numFmt w:val="bullet"/>
      <w:lvlText w:val=""/>
      <w:lvlJc w:val="left"/>
      <w:pPr>
        <w:ind w:left="2880" w:hanging="360"/>
      </w:pPr>
      <w:rPr>
        <w:rFonts w:ascii="Symbol" w:hAnsi="Symbol" w:hint="default"/>
      </w:rPr>
    </w:lvl>
    <w:lvl w:ilvl="4" w:tplc="95A8E206" w:tentative="1">
      <w:start w:val="1"/>
      <w:numFmt w:val="bullet"/>
      <w:lvlText w:val="o"/>
      <w:lvlJc w:val="left"/>
      <w:pPr>
        <w:ind w:left="3600" w:hanging="360"/>
      </w:pPr>
      <w:rPr>
        <w:rFonts w:ascii="Courier New" w:hAnsi="Courier New" w:cs="Courier New" w:hint="default"/>
      </w:rPr>
    </w:lvl>
    <w:lvl w:ilvl="5" w:tplc="AAD684E6" w:tentative="1">
      <w:start w:val="1"/>
      <w:numFmt w:val="bullet"/>
      <w:lvlText w:val=""/>
      <w:lvlJc w:val="left"/>
      <w:pPr>
        <w:ind w:left="4320" w:hanging="360"/>
      </w:pPr>
      <w:rPr>
        <w:rFonts w:ascii="Wingdings" w:hAnsi="Wingdings" w:hint="default"/>
      </w:rPr>
    </w:lvl>
    <w:lvl w:ilvl="6" w:tplc="127EAF16" w:tentative="1">
      <w:start w:val="1"/>
      <w:numFmt w:val="bullet"/>
      <w:lvlText w:val=""/>
      <w:lvlJc w:val="left"/>
      <w:pPr>
        <w:ind w:left="5040" w:hanging="360"/>
      </w:pPr>
      <w:rPr>
        <w:rFonts w:ascii="Symbol" w:hAnsi="Symbol" w:hint="default"/>
      </w:rPr>
    </w:lvl>
    <w:lvl w:ilvl="7" w:tplc="92ECF412" w:tentative="1">
      <w:start w:val="1"/>
      <w:numFmt w:val="bullet"/>
      <w:lvlText w:val="o"/>
      <w:lvlJc w:val="left"/>
      <w:pPr>
        <w:ind w:left="5760" w:hanging="360"/>
      </w:pPr>
      <w:rPr>
        <w:rFonts w:ascii="Courier New" w:hAnsi="Courier New" w:cs="Courier New" w:hint="default"/>
      </w:rPr>
    </w:lvl>
    <w:lvl w:ilvl="8" w:tplc="F95E2B2A" w:tentative="1">
      <w:start w:val="1"/>
      <w:numFmt w:val="bullet"/>
      <w:lvlText w:val=""/>
      <w:lvlJc w:val="left"/>
      <w:pPr>
        <w:ind w:left="6480" w:hanging="360"/>
      </w:pPr>
      <w:rPr>
        <w:rFonts w:ascii="Wingdings" w:hAnsi="Wingdings" w:hint="default"/>
      </w:rPr>
    </w:lvl>
  </w:abstractNum>
  <w:abstractNum w:abstractNumId="13" w15:restartNumberingAfterBreak="0">
    <w:nsid w:val="5EA657B7"/>
    <w:multiLevelType w:val="hybridMultilevel"/>
    <w:tmpl w:val="7C146D62"/>
    <w:lvl w:ilvl="0" w:tplc="12128000">
      <w:start w:val="1"/>
      <w:numFmt w:val="lowerLetter"/>
      <w:lvlText w:val="%1)"/>
      <w:lvlJc w:val="left"/>
      <w:pPr>
        <w:ind w:left="720" w:hanging="360"/>
      </w:pPr>
    </w:lvl>
    <w:lvl w:ilvl="1" w:tplc="F03CC21C" w:tentative="1">
      <w:start w:val="1"/>
      <w:numFmt w:val="lowerLetter"/>
      <w:lvlText w:val="%2."/>
      <w:lvlJc w:val="left"/>
      <w:pPr>
        <w:ind w:left="1440" w:hanging="360"/>
      </w:pPr>
    </w:lvl>
    <w:lvl w:ilvl="2" w:tplc="246EEA52" w:tentative="1">
      <w:start w:val="1"/>
      <w:numFmt w:val="lowerRoman"/>
      <w:lvlText w:val="%3."/>
      <w:lvlJc w:val="right"/>
      <w:pPr>
        <w:ind w:left="2160" w:hanging="180"/>
      </w:pPr>
    </w:lvl>
    <w:lvl w:ilvl="3" w:tplc="D3E20BB0" w:tentative="1">
      <w:start w:val="1"/>
      <w:numFmt w:val="decimal"/>
      <w:lvlText w:val="%4."/>
      <w:lvlJc w:val="left"/>
      <w:pPr>
        <w:ind w:left="2880" w:hanging="360"/>
      </w:pPr>
    </w:lvl>
    <w:lvl w:ilvl="4" w:tplc="A6D01044" w:tentative="1">
      <w:start w:val="1"/>
      <w:numFmt w:val="lowerLetter"/>
      <w:lvlText w:val="%5."/>
      <w:lvlJc w:val="left"/>
      <w:pPr>
        <w:ind w:left="3600" w:hanging="360"/>
      </w:pPr>
    </w:lvl>
    <w:lvl w:ilvl="5" w:tplc="6A9E8D04" w:tentative="1">
      <w:start w:val="1"/>
      <w:numFmt w:val="lowerRoman"/>
      <w:lvlText w:val="%6."/>
      <w:lvlJc w:val="right"/>
      <w:pPr>
        <w:ind w:left="4320" w:hanging="180"/>
      </w:pPr>
    </w:lvl>
    <w:lvl w:ilvl="6" w:tplc="7F4E3804" w:tentative="1">
      <w:start w:val="1"/>
      <w:numFmt w:val="decimal"/>
      <w:lvlText w:val="%7."/>
      <w:lvlJc w:val="left"/>
      <w:pPr>
        <w:ind w:left="5040" w:hanging="360"/>
      </w:pPr>
    </w:lvl>
    <w:lvl w:ilvl="7" w:tplc="65C845B4" w:tentative="1">
      <w:start w:val="1"/>
      <w:numFmt w:val="lowerLetter"/>
      <w:lvlText w:val="%8."/>
      <w:lvlJc w:val="left"/>
      <w:pPr>
        <w:ind w:left="5760" w:hanging="360"/>
      </w:pPr>
    </w:lvl>
    <w:lvl w:ilvl="8" w:tplc="84E82C98" w:tentative="1">
      <w:start w:val="1"/>
      <w:numFmt w:val="lowerRoman"/>
      <w:lvlText w:val="%9."/>
      <w:lvlJc w:val="right"/>
      <w:pPr>
        <w:ind w:left="6480" w:hanging="180"/>
      </w:pPr>
    </w:lvl>
  </w:abstractNum>
  <w:abstractNum w:abstractNumId="14" w15:restartNumberingAfterBreak="0">
    <w:nsid w:val="62FB70DC"/>
    <w:multiLevelType w:val="hybridMultilevel"/>
    <w:tmpl w:val="2C76376C"/>
    <w:lvl w:ilvl="0" w:tplc="D310A92E">
      <w:start w:val="1"/>
      <w:numFmt w:val="bullet"/>
      <w:lvlText w:val=""/>
      <w:lvlJc w:val="left"/>
      <w:pPr>
        <w:ind w:left="1429" w:hanging="360"/>
      </w:pPr>
      <w:rPr>
        <w:rFonts w:ascii="Symbol" w:hAnsi="Symbol" w:hint="default"/>
      </w:rPr>
    </w:lvl>
    <w:lvl w:ilvl="1" w:tplc="BFDAAF32" w:tentative="1">
      <w:start w:val="1"/>
      <w:numFmt w:val="bullet"/>
      <w:lvlText w:val="o"/>
      <w:lvlJc w:val="left"/>
      <w:pPr>
        <w:ind w:left="2149" w:hanging="360"/>
      </w:pPr>
      <w:rPr>
        <w:rFonts w:ascii="Courier New" w:hAnsi="Courier New" w:cs="Courier New" w:hint="default"/>
      </w:rPr>
    </w:lvl>
    <w:lvl w:ilvl="2" w:tplc="AECAEA42" w:tentative="1">
      <w:start w:val="1"/>
      <w:numFmt w:val="bullet"/>
      <w:lvlText w:val=""/>
      <w:lvlJc w:val="left"/>
      <w:pPr>
        <w:ind w:left="2869" w:hanging="360"/>
      </w:pPr>
      <w:rPr>
        <w:rFonts w:ascii="Wingdings" w:hAnsi="Wingdings" w:hint="default"/>
      </w:rPr>
    </w:lvl>
    <w:lvl w:ilvl="3" w:tplc="6C602194" w:tentative="1">
      <w:start w:val="1"/>
      <w:numFmt w:val="bullet"/>
      <w:lvlText w:val=""/>
      <w:lvlJc w:val="left"/>
      <w:pPr>
        <w:ind w:left="3589" w:hanging="360"/>
      </w:pPr>
      <w:rPr>
        <w:rFonts w:ascii="Symbol" w:hAnsi="Symbol" w:hint="default"/>
      </w:rPr>
    </w:lvl>
    <w:lvl w:ilvl="4" w:tplc="9946B884" w:tentative="1">
      <w:start w:val="1"/>
      <w:numFmt w:val="bullet"/>
      <w:lvlText w:val="o"/>
      <w:lvlJc w:val="left"/>
      <w:pPr>
        <w:ind w:left="4309" w:hanging="360"/>
      </w:pPr>
      <w:rPr>
        <w:rFonts w:ascii="Courier New" w:hAnsi="Courier New" w:cs="Courier New" w:hint="default"/>
      </w:rPr>
    </w:lvl>
    <w:lvl w:ilvl="5" w:tplc="4B9E5FF8" w:tentative="1">
      <w:start w:val="1"/>
      <w:numFmt w:val="bullet"/>
      <w:lvlText w:val=""/>
      <w:lvlJc w:val="left"/>
      <w:pPr>
        <w:ind w:left="5029" w:hanging="360"/>
      </w:pPr>
      <w:rPr>
        <w:rFonts w:ascii="Wingdings" w:hAnsi="Wingdings" w:hint="default"/>
      </w:rPr>
    </w:lvl>
    <w:lvl w:ilvl="6" w:tplc="4908495C" w:tentative="1">
      <w:start w:val="1"/>
      <w:numFmt w:val="bullet"/>
      <w:lvlText w:val=""/>
      <w:lvlJc w:val="left"/>
      <w:pPr>
        <w:ind w:left="5749" w:hanging="360"/>
      </w:pPr>
      <w:rPr>
        <w:rFonts w:ascii="Symbol" w:hAnsi="Symbol" w:hint="default"/>
      </w:rPr>
    </w:lvl>
    <w:lvl w:ilvl="7" w:tplc="C47E8DE4" w:tentative="1">
      <w:start w:val="1"/>
      <w:numFmt w:val="bullet"/>
      <w:lvlText w:val="o"/>
      <w:lvlJc w:val="left"/>
      <w:pPr>
        <w:ind w:left="6469" w:hanging="360"/>
      </w:pPr>
      <w:rPr>
        <w:rFonts w:ascii="Courier New" w:hAnsi="Courier New" w:cs="Courier New" w:hint="default"/>
      </w:rPr>
    </w:lvl>
    <w:lvl w:ilvl="8" w:tplc="EAB6FBA8" w:tentative="1">
      <w:start w:val="1"/>
      <w:numFmt w:val="bullet"/>
      <w:lvlText w:val=""/>
      <w:lvlJc w:val="left"/>
      <w:pPr>
        <w:ind w:left="7189" w:hanging="360"/>
      </w:pPr>
      <w:rPr>
        <w:rFonts w:ascii="Wingdings" w:hAnsi="Wingdings" w:hint="default"/>
      </w:rPr>
    </w:lvl>
  </w:abstractNum>
  <w:abstractNum w:abstractNumId="15" w15:restartNumberingAfterBreak="0">
    <w:nsid w:val="63200733"/>
    <w:multiLevelType w:val="multilevel"/>
    <w:tmpl w:val="2CAC45F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6" w15:restartNumberingAfterBreak="0">
    <w:nsid w:val="650E2067"/>
    <w:multiLevelType w:val="hybridMultilevel"/>
    <w:tmpl w:val="7D94380C"/>
    <w:lvl w:ilvl="0" w:tplc="7F36CF0C">
      <w:start w:val="1"/>
      <w:numFmt w:val="bullet"/>
      <w:lvlText w:val=""/>
      <w:lvlJc w:val="left"/>
      <w:pPr>
        <w:ind w:left="720" w:hanging="360"/>
      </w:pPr>
      <w:rPr>
        <w:rFonts w:ascii="Symbol" w:hAnsi="Symbol" w:hint="default"/>
      </w:rPr>
    </w:lvl>
    <w:lvl w:ilvl="1" w:tplc="BD526D1A" w:tentative="1">
      <w:start w:val="1"/>
      <w:numFmt w:val="bullet"/>
      <w:lvlText w:val="o"/>
      <w:lvlJc w:val="left"/>
      <w:pPr>
        <w:ind w:left="1440" w:hanging="360"/>
      </w:pPr>
      <w:rPr>
        <w:rFonts w:ascii="Courier New" w:hAnsi="Courier New" w:cs="Courier New" w:hint="default"/>
      </w:rPr>
    </w:lvl>
    <w:lvl w:ilvl="2" w:tplc="E6028A6C" w:tentative="1">
      <w:start w:val="1"/>
      <w:numFmt w:val="bullet"/>
      <w:lvlText w:val=""/>
      <w:lvlJc w:val="left"/>
      <w:pPr>
        <w:ind w:left="2160" w:hanging="360"/>
      </w:pPr>
      <w:rPr>
        <w:rFonts w:ascii="Wingdings" w:hAnsi="Wingdings" w:hint="default"/>
      </w:rPr>
    </w:lvl>
    <w:lvl w:ilvl="3" w:tplc="D2383408" w:tentative="1">
      <w:start w:val="1"/>
      <w:numFmt w:val="bullet"/>
      <w:lvlText w:val=""/>
      <w:lvlJc w:val="left"/>
      <w:pPr>
        <w:ind w:left="2880" w:hanging="360"/>
      </w:pPr>
      <w:rPr>
        <w:rFonts w:ascii="Symbol" w:hAnsi="Symbol" w:hint="default"/>
      </w:rPr>
    </w:lvl>
    <w:lvl w:ilvl="4" w:tplc="A5CAE192" w:tentative="1">
      <w:start w:val="1"/>
      <w:numFmt w:val="bullet"/>
      <w:lvlText w:val="o"/>
      <w:lvlJc w:val="left"/>
      <w:pPr>
        <w:ind w:left="3600" w:hanging="360"/>
      </w:pPr>
      <w:rPr>
        <w:rFonts w:ascii="Courier New" w:hAnsi="Courier New" w:cs="Courier New" w:hint="default"/>
      </w:rPr>
    </w:lvl>
    <w:lvl w:ilvl="5" w:tplc="489AB542" w:tentative="1">
      <w:start w:val="1"/>
      <w:numFmt w:val="bullet"/>
      <w:lvlText w:val=""/>
      <w:lvlJc w:val="left"/>
      <w:pPr>
        <w:ind w:left="4320" w:hanging="360"/>
      </w:pPr>
      <w:rPr>
        <w:rFonts w:ascii="Wingdings" w:hAnsi="Wingdings" w:hint="default"/>
      </w:rPr>
    </w:lvl>
    <w:lvl w:ilvl="6" w:tplc="364A2A24" w:tentative="1">
      <w:start w:val="1"/>
      <w:numFmt w:val="bullet"/>
      <w:lvlText w:val=""/>
      <w:lvlJc w:val="left"/>
      <w:pPr>
        <w:ind w:left="5040" w:hanging="360"/>
      </w:pPr>
      <w:rPr>
        <w:rFonts w:ascii="Symbol" w:hAnsi="Symbol" w:hint="default"/>
      </w:rPr>
    </w:lvl>
    <w:lvl w:ilvl="7" w:tplc="1C38130E" w:tentative="1">
      <w:start w:val="1"/>
      <w:numFmt w:val="bullet"/>
      <w:lvlText w:val="o"/>
      <w:lvlJc w:val="left"/>
      <w:pPr>
        <w:ind w:left="5760" w:hanging="360"/>
      </w:pPr>
      <w:rPr>
        <w:rFonts w:ascii="Courier New" w:hAnsi="Courier New" w:cs="Courier New" w:hint="default"/>
      </w:rPr>
    </w:lvl>
    <w:lvl w:ilvl="8" w:tplc="462A20B6" w:tentative="1">
      <w:start w:val="1"/>
      <w:numFmt w:val="bullet"/>
      <w:lvlText w:val=""/>
      <w:lvlJc w:val="left"/>
      <w:pPr>
        <w:ind w:left="6480" w:hanging="360"/>
      </w:pPr>
      <w:rPr>
        <w:rFonts w:ascii="Wingdings" w:hAnsi="Wingdings" w:hint="default"/>
      </w:rPr>
    </w:lvl>
  </w:abstractNum>
  <w:abstractNum w:abstractNumId="17" w15:restartNumberingAfterBreak="0">
    <w:nsid w:val="682E0571"/>
    <w:multiLevelType w:val="hybridMultilevel"/>
    <w:tmpl w:val="3FB2F578"/>
    <w:lvl w:ilvl="0" w:tplc="002E440E">
      <w:start w:val="1"/>
      <w:numFmt w:val="bullet"/>
      <w:lvlText w:val=""/>
      <w:lvlJc w:val="left"/>
      <w:pPr>
        <w:ind w:left="720" w:hanging="360"/>
      </w:pPr>
      <w:rPr>
        <w:rFonts w:ascii="Symbol" w:hAnsi="Symbol" w:hint="default"/>
      </w:rPr>
    </w:lvl>
    <w:lvl w:ilvl="1" w:tplc="413E3F32" w:tentative="1">
      <w:start w:val="1"/>
      <w:numFmt w:val="bullet"/>
      <w:lvlText w:val="o"/>
      <w:lvlJc w:val="left"/>
      <w:pPr>
        <w:ind w:left="1440" w:hanging="360"/>
      </w:pPr>
      <w:rPr>
        <w:rFonts w:ascii="Courier New" w:hAnsi="Courier New" w:cs="Courier New" w:hint="default"/>
      </w:rPr>
    </w:lvl>
    <w:lvl w:ilvl="2" w:tplc="CD5AA242" w:tentative="1">
      <w:start w:val="1"/>
      <w:numFmt w:val="bullet"/>
      <w:lvlText w:val=""/>
      <w:lvlJc w:val="left"/>
      <w:pPr>
        <w:ind w:left="2160" w:hanging="360"/>
      </w:pPr>
      <w:rPr>
        <w:rFonts w:ascii="Wingdings" w:hAnsi="Wingdings" w:hint="default"/>
      </w:rPr>
    </w:lvl>
    <w:lvl w:ilvl="3" w:tplc="548A9C16" w:tentative="1">
      <w:start w:val="1"/>
      <w:numFmt w:val="bullet"/>
      <w:lvlText w:val=""/>
      <w:lvlJc w:val="left"/>
      <w:pPr>
        <w:ind w:left="2880" w:hanging="360"/>
      </w:pPr>
      <w:rPr>
        <w:rFonts w:ascii="Symbol" w:hAnsi="Symbol" w:hint="default"/>
      </w:rPr>
    </w:lvl>
    <w:lvl w:ilvl="4" w:tplc="64581702" w:tentative="1">
      <w:start w:val="1"/>
      <w:numFmt w:val="bullet"/>
      <w:lvlText w:val="o"/>
      <w:lvlJc w:val="left"/>
      <w:pPr>
        <w:ind w:left="3600" w:hanging="360"/>
      </w:pPr>
      <w:rPr>
        <w:rFonts w:ascii="Courier New" w:hAnsi="Courier New" w:cs="Courier New" w:hint="default"/>
      </w:rPr>
    </w:lvl>
    <w:lvl w:ilvl="5" w:tplc="311E98EE" w:tentative="1">
      <w:start w:val="1"/>
      <w:numFmt w:val="bullet"/>
      <w:lvlText w:val=""/>
      <w:lvlJc w:val="left"/>
      <w:pPr>
        <w:ind w:left="4320" w:hanging="360"/>
      </w:pPr>
      <w:rPr>
        <w:rFonts w:ascii="Wingdings" w:hAnsi="Wingdings" w:hint="default"/>
      </w:rPr>
    </w:lvl>
    <w:lvl w:ilvl="6" w:tplc="5C860664" w:tentative="1">
      <w:start w:val="1"/>
      <w:numFmt w:val="bullet"/>
      <w:lvlText w:val=""/>
      <w:lvlJc w:val="left"/>
      <w:pPr>
        <w:ind w:left="5040" w:hanging="360"/>
      </w:pPr>
      <w:rPr>
        <w:rFonts w:ascii="Symbol" w:hAnsi="Symbol" w:hint="default"/>
      </w:rPr>
    </w:lvl>
    <w:lvl w:ilvl="7" w:tplc="9B0463CC" w:tentative="1">
      <w:start w:val="1"/>
      <w:numFmt w:val="bullet"/>
      <w:lvlText w:val="o"/>
      <w:lvlJc w:val="left"/>
      <w:pPr>
        <w:ind w:left="5760" w:hanging="360"/>
      </w:pPr>
      <w:rPr>
        <w:rFonts w:ascii="Courier New" w:hAnsi="Courier New" w:cs="Courier New" w:hint="default"/>
      </w:rPr>
    </w:lvl>
    <w:lvl w:ilvl="8" w:tplc="076C3026" w:tentative="1">
      <w:start w:val="1"/>
      <w:numFmt w:val="bullet"/>
      <w:lvlText w:val=""/>
      <w:lvlJc w:val="left"/>
      <w:pPr>
        <w:ind w:left="6480" w:hanging="360"/>
      </w:pPr>
      <w:rPr>
        <w:rFonts w:ascii="Wingdings" w:hAnsi="Wingdings" w:hint="default"/>
      </w:rPr>
    </w:lvl>
  </w:abstractNum>
  <w:abstractNum w:abstractNumId="18" w15:restartNumberingAfterBreak="0">
    <w:nsid w:val="6CD16673"/>
    <w:multiLevelType w:val="hybridMultilevel"/>
    <w:tmpl w:val="3F76F5FE"/>
    <w:lvl w:ilvl="0" w:tplc="CEFE7210">
      <w:start w:val="1"/>
      <w:numFmt w:val="bullet"/>
      <w:lvlText w:val=""/>
      <w:lvlJc w:val="left"/>
      <w:pPr>
        <w:ind w:left="720" w:hanging="360"/>
      </w:pPr>
      <w:rPr>
        <w:rFonts w:ascii="Symbol" w:hAnsi="Symbol" w:hint="default"/>
      </w:rPr>
    </w:lvl>
    <w:lvl w:ilvl="1" w:tplc="5E984BB2" w:tentative="1">
      <w:start w:val="1"/>
      <w:numFmt w:val="bullet"/>
      <w:lvlText w:val="o"/>
      <w:lvlJc w:val="left"/>
      <w:pPr>
        <w:ind w:left="1440" w:hanging="360"/>
      </w:pPr>
      <w:rPr>
        <w:rFonts w:ascii="Courier New" w:hAnsi="Courier New" w:cs="Courier New" w:hint="default"/>
      </w:rPr>
    </w:lvl>
    <w:lvl w:ilvl="2" w:tplc="56101C78" w:tentative="1">
      <w:start w:val="1"/>
      <w:numFmt w:val="bullet"/>
      <w:lvlText w:val=""/>
      <w:lvlJc w:val="left"/>
      <w:pPr>
        <w:ind w:left="2160" w:hanging="360"/>
      </w:pPr>
      <w:rPr>
        <w:rFonts w:ascii="Wingdings" w:hAnsi="Wingdings" w:hint="default"/>
      </w:rPr>
    </w:lvl>
    <w:lvl w:ilvl="3" w:tplc="9B4A1696" w:tentative="1">
      <w:start w:val="1"/>
      <w:numFmt w:val="bullet"/>
      <w:lvlText w:val=""/>
      <w:lvlJc w:val="left"/>
      <w:pPr>
        <w:ind w:left="2880" w:hanging="360"/>
      </w:pPr>
      <w:rPr>
        <w:rFonts w:ascii="Symbol" w:hAnsi="Symbol" w:hint="default"/>
      </w:rPr>
    </w:lvl>
    <w:lvl w:ilvl="4" w:tplc="CA0A5718" w:tentative="1">
      <w:start w:val="1"/>
      <w:numFmt w:val="bullet"/>
      <w:lvlText w:val="o"/>
      <w:lvlJc w:val="left"/>
      <w:pPr>
        <w:ind w:left="3600" w:hanging="360"/>
      </w:pPr>
      <w:rPr>
        <w:rFonts w:ascii="Courier New" w:hAnsi="Courier New" w:cs="Courier New" w:hint="default"/>
      </w:rPr>
    </w:lvl>
    <w:lvl w:ilvl="5" w:tplc="A4944BCA" w:tentative="1">
      <w:start w:val="1"/>
      <w:numFmt w:val="bullet"/>
      <w:lvlText w:val=""/>
      <w:lvlJc w:val="left"/>
      <w:pPr>
        <w:ind w:left="4320" w:hanging="360"/>
      </w:pPr>
      <w:rPr>
        <w:rFonts w:ascii="Wingdings" w:hAnsi="Wingdings" w:hint="default"/>
      </w:rPr>
    </w:lvl>
    <w:lvl w:ilvl="6" w:tplc="1B780D50" w:tentative="1">
      <w:start w:val="1"/>
      <w:numFmt w:val="bullet"/>
      <w:lvlText w:val=""/>
      <w:lvlJc w:val="left"/>
      <w:pPr>
        <w:ind w:left="5040" w:hanging="360"/>
      </w:pPr>
      <w:rPr>
        <w:rFonts w:ascii="Symbol" w:hAnsi="Symbol" w:hint="default"/>
      </w:rPr>
    </w:lvl>
    <w:lvl w:ilvl="7" w:tplc="04F47044" w:tentative="1">
      <w:start w:val="1"/>
      <w:numFmt w:val="bullet"/>
      <w:lvlText w:val="o"/>
      <w:lvlJc w:val="left"/>
      <w:pPr>
        <w:ind w:left="5760" w:hanging="360"/>
      </w:pPr>
      <w:rPr>
        <w:rFonts w:ascii="Courier New" w:hAnsi="Courier New" w:cs="Courier New" w:hint="default"/>
      </w:rPr>
    </w:lvl>
    <w:lvl w:ilvl="8" w:tplc="6952E526" w:tentative="1">
      <w:start w:val="1"/>
      <w:numFmt w:val="bullet"/>
      <w:lvlText w:val=""/>
      <w:lvlJc w:val="left"/>
      <w:pPr>
        <w:ind w:left="6480" w:hanging="360"/>
      </w:pPr>
      <w:rPr>
        <w:rFonts w:ascii="Wingdings" w:hAnsi="Wingdings" w:hint="default"/>
      </w:rPr>
    </w:lvl>
  </w:abstractNum>
  <w:abstractNum w:abstractNumId="19" w15:restartNumberingAfterBreak="0">
    <w:nsid w:val="75C31127"/>
    <w:multiLevelType w:val="hybridMultilevel"/>
    <w:tmpl w:val="82928682"/>
    <w:lvl w:ilvl="0" w:tplc="7F601B00">
      <w:start w:val="1"/>
      <w:numFmt w:val="bullet"/>
      <w:lvlText w:val=""/>
      <w:lvlJc w:val="left"/>
      <w:pPr>
        <w:ind w:left="720" w:hanging="360"/>
      </w:pPr>
      <w:rPr>
        <w:rFonts w:ascii="Symbol" w:hAnsi="Symbol" w:hint="default"/>
      </w:rPr>
    </w:lvl>
    <w:lvl w:ilvl="1" w:tplc="1370200A">
      <w:start w:val="1"/>
      <w:numFmt w:val="bullet"/>
      <w:lvlText w:val="o"/>
      <w:lvlJc w:val="left"/>
      <w:pPr>
        <w:ind w:left="1440" w:hanging="360"/>
      </w:pPr>
      <w:rPr>
        <w:rFonts w:ascii="Courier New" w:hAnsi="Courier New" w:cs="Courier New" w:hint="default"/>
      </w:rPr>
    </w:lvl>
    <w:lvl w:ilvl="2" w:tplc="7A4080CC">
      <w:start w:val="1"/>
      <w:numFmt w:val="bullet"/>
      <w:lvlText w:val=""/>
      <w:lvlJc w:val="left"/>
      <w:pPr>
        <w:ind w:left="2160" w:hanging="360"/>
      </w:pPr>
      <w:rPr>
        <w:rFonts w:ascii="Wingdings" w:hAnsi="Wingdings" w:hint="default"/>
      </w:rPr>
    </w:lvl>
    <w:lvl w:ilvl="3" w:tplc="A79CAB6C">
      <w:start w:val="1"/>
      <w:numFmt w:val="bullet"/>
      <w:lvlText w:val=""/>
      <w:lvlJc w:val="left"/>
      <w:pPr>
        <w:ind w:left="2880" w:hanging="360"/>
      </w:pPr>
      <w:rPr>
        <w:rFonts w:ascii="Symbol" w:hAnsi="Symbol" w:hint="default"/>
      </w:rPr>
    </w:lvl>
    <w:lvl w:ilvl="4" w:tplc="CFB2782E">
      <w:start w:val="1"/>
      <w:numFmt w:val="bullet"/>
      <w:lvlText w:val="o"/>
      <w:lvlJc w:val="left"/>
      <w:pPr>
        <w:ind w:left="3600" w:hanging="360"/>
      </w:pPr>
      <w:rPr>
        <w:rFonts w:ascii="Courier New" w:hAnsi="Courier New" w:cs="Courier New" w:hint="default"/>
      </w:rPr>
    </w:lvl>
    <w:lvl w:ilvl="5" w:tplc="05247784">
      <w:start w:val="1"/>
      <w:numFmt w:val="bullet"/>
      <w:lvlText w:val=""/>
      <w:lvlJc w:val="left"/>
      <w:pPr>
        <w:ind w:left="4320" w:hanging="360"/>
      </w:pPr>
      <w:rPr>
        <w:rFonts w:ascii="Wingdings" w:hAnsi="Wingdings" w:hint="default"/>
      </w:rPr>
    </w:lvl>
    <w:lvl w:ilvl="6" w:tplc="94AAA468">
      <w:start w:val="1"/>
      <w:numFmt w:val="bullet"/>
      <w:lvlText w:val=""/>
      <w:lvlJc w:val="left"/>
      <w:pPr>
        <w:ind w:left="5040" w:hanging="360"/>
      </w:pPr>
      <w:rPr>
        <w:rFonts w:ascii="Symbol" w:hAnsi="Symbol" w:hint="default"/>
      </w:rPr>
    </w:lvl>
    <w:lvl w:ilvl="7" w:tplc="96B2A754">
      <w:start w:val="1"/>
      <w:numFmt w:val="bullet"/>
      <w:lvlText w:val="o"/>
      <w:lvlJc w:val="left"/>
      <w:pPr>
        <w:ind w:left="5760" w:hanging="360"/>
      </w:pPr>
      <w:rPr>
        <w:rFonts w:ascii="Courier New" w:hAnsi="Courier New" w:cs="Courier New" w:hint="default"/>
      </w:rPr>
    </w:lvl>
    <w:lvl w:ilvl="8" w:tplc="E6421FB2">
      <w:start w:val="1"/>
      <w:numFmt w:val="bullet"/>
      <w:lvlText w:val=""/>
      <w:lvlJc w:val="left"/>
      <w:pPr>
        <w:ind w:left="6480" w:hanging="360"/>
      </w:pPr>
      <w:rPr>
        <w:rFonts w:ascii="Wingdings" w:hAnsi="Wingdings" w:hint="default"/>
      </w:rPr>
    </w:lvl>
  </w:abstractNum>
  <w:abstractNum w:abstractNumId="20" w15:restartNumberingAfterBreak="0">
    <w:nsid w:val="75DD0325"/>
    <w:multiLevelType w:val="hybridMultilevel"/>
    <w:tmpl w:val="8FC64BE0"/>
    <w:lvl w:ilvl="0" w:tplc="77881D18">
      <w:start w:val="1"/>
      <w:numFmt w:val="decimal"/>
      <w:lvlText w:val="%1."/>
      <w:lvlJc w:val="left"/>
      <w:pPr>
        <w:ind w:left="720" w:hanging="360"/>
      </w:pPr>
    </w:lvl>
    <w:lvl w:ilvl="1" w:tplc="AAA8923A" w:tentative="1">
      <w:start w:val="1"/>
      <w:numFmt w:val="lowerLetter"/>
      <w:lvlText w:val="%2."/>
      <w:lvlJc w:val="left"/>
      <w:pPr>
        <w:ind w:left="1440" w:hanging="360"/>
      </w:pPr>
    </w:lvl>
    <w:lvl w:ilvl="2" w:tplc="2EF4C3A8" w:tentative="1">
      <w:start w:val="1"/>
      <w:numFmt w:val="lowerRoman"/>
      <w:lvlText w:val="%3."/>
      <w:lvlJc w:val="right"/>
      <w:pPr>
        <w:ind w:left="2160" w:hanging="180"/>
      </w:pPr>
    </w:lvl>
    <w:lvl w:ilvl="3" w:tplc="84AA09A4" w:tentative="1">
      <w:start w:val="1"/>
      <w:numFmt w:val="decimal"/>
      <w:lvlText w:val="%4."/>
      <w:lvlJc w:val="left"/>
      <w:pPr>
        <w:ind w:left="2880" w:hanging="360"/>
      </w:pPr>
    </w:lvl>
    <w:lvl w:ilvl="4" w:tplc="1E3EB302" w:tentative="1">
      <w:start w:val="1"/>
      <w:numFmt w:val="lowerLetter"/>
      <w:lvlText w:val="%5."/>
      <w:lvlJc w:val="left"/>
      <w:pPr>
        <w:ind w:left="3600" w:hanging="360"/>
      </w:pPr>
    </w:lvl>
    <w:lvl w:ilvl="5" w:tplc="F0626262" w:tentative="1">
      <w:start w:val="1"/>
      <w:numFmt w:val="lowerRoman"/>
      <w:lvlText w:val="%6."/>
      <w:lvlJc w:val="right"/>
      <w:pPr>
        <w:ind w:left="4320" w:hanging="180"/>
      </w:pPr>
    </w:lvl>
    <w:lvl w:ilvl="6" w:tplc="D5CC9EC2" w:tentative="1">
      <w:start w:val="1"/>
      <w:numFmt w:val="decimal"/>
      <w:lvlText w:val="%7."/>
      <w:lvlJc w:val="left"/>
      <w:pPr>
        <w:ind w:left="5040" w:hanging="360"/>
      </w:pPr>
    </w:lvl>
    <w:lvl w:ilvl="7" w:tplc="21AAC5B6" w:tentative="1">
      <w:start w:val="1"/>
      <w:numFmt w:val="lowerLetter"/>
      <w:lvlText w:val="%8."/>
      <w:lvlJc w:val="left"/>
      <w:pPr>
        <w:ind w:left="5760" w:hanging="360"/>
      </w:pPr>
    </w:lvl>
    <w:lvl w:ilvl="8" w:tplc="538C929E"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6"/>
  </w:num>
  <w:num w:numId="5">
    <w:abstractNumId w:val="20"/>
  </w:num>
  <w:num w:numId="6">
    <w:abstractNumId w:val="5"/>
  </w:num>
  <w:num w:numId="7">
    <w:abstractNumId w:val="6"/>
  </w:num>
  <w:num w:numId="8">
    <w:abstractNumId w:val="13"/>
  </w:num>
  <w:num w:numId="9">
    <w:abstractNumId w:val="8"/>
  </w:num>
  <w:num w:numId="10">
    <w:abstractNumId w:val="14"/>
  </w:num>
  <w:num w:numId="11">
    <w:abstractNumId w:val="10"/>
  </w:num>
  <w:num w:numId="12">
    <w:abstractNumId w:val="18"/>
  </w:num>
  <w:num w:numId="13">
    <w:abstractNumId w:val="17"/>
  </w:num>
  <w:num w:numId="14">
    <w:abstractNumId w:val="19"/>
  </w:num>
  <w:num w:numId="15">
    <w:abstractNumId w:val="15"/>
  </w:num>
  <w:num w:numId="16">
    <w:abstractNumId w:val="9"/>
  </w:num>
  <w:num w:numId="17">
    <w:abstractNumId w:val="12"/>
  </w:num>
  <w:num w:numId="18">
    <w:abstractNumId w:val="11"/>
  </w:num>
  <w:num w:numId="19">
    <w:abstractNumId w:val="0"/>
  </w:num>
  <w:num w:numId="20">
    <w:abstractNumId w:val="1"/>
  </w:num>
  <w:num w:numId="21">
    <w:abstractNumId w:val="3"/>
  </w:num>
  <w:num w:numId="22">
    <w:abstractNumId w:val="3"/>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B"/>
    <w:rsid w:val="00067BC0"/>
    <w:rsid w:val="003A433B"/>
    <w:rsid w:val="00A2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A469F-AE2E-44ED-BD61-418B4BE1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nsionsregulator.gov.uk/guidance/db-invest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se.ac.uk/GranthamInstitute/tpi/the-toolk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4C38-18E6-443C-8E91-37B5CB87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7</cp:revision>
  <cp:lastPrinted>2016-04-13T08:43:00Z</cp:lastPrinted>
  <dcterms:created xsi:type="dcterms:W3CDTF">2017-05-23T15:56:00Z</dcterms:created>
  <dcterms:modified xsi:type="dcterms:W3CDTF">2017-09-21T10:26:00Z</dcterms:modified>
</cp:coreProperties>
</file>